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F9D9" w14:textId="64DB383F" w:rsidR="005705CD" w:rsidRPr="00D97E0C" w:rsidRDefault="005705CD" w:rsidP="00D97E0C">
      <w:pPr>
        <w:spacing w:before="100" w:beforeAutospacing="1" w:after="100" w:afterAutospacing="1"/>
        <w:jc w:val="center"/>
        <w:rPr>
          <w:rFonts w:cs="Times New Roman"/>
          <w:b/>
          <w:lang w:val="en-US" w:eastAsia="it-IT"/>
        </w:rPr>
      </w:pPr>
      <w:r w:rsidRPr="005705CD">
        <w:rPr>
          <w:rFonts w:cs="Times New Roman"/>
          <w:b/>
          <w:lang w:val="en-US" w:eastAsia="it-IT"/>
        </w:rPr>
        <w:t>Indigenous Peoples Inputs</w:t>
      </w:r>
      <w:r w:rsidR="00D97E0C">
        <w:rPr>
          <w:rStyle w:val="Refdenotaalpie"/>
          <w:rFonts w:cs="Times New Roman"/>
          <w:b/>
          <w:lang w:val="en-US" w:eastAsia="it-IT"/>
        </w:rPr>
        <w:footnoteReference w:id="1"/>
      </w:r>
      <w:r w:rsidRPr="005705CD">
        <w:rPr>
          <w:rFonts w:cs="Times New Roman"/>
          <w:b/>
          <w:lang w:val="en-US" w:eastAsia="it-IT"/>
        </w:rPr>
        <w:t xml:space="preserve"> to the Green Climate Fund Environmental and Social Management System</w:t>
      </w:r>
    </w:p>
    <w:p w14:paraId="44C05843" w14:textId="0BB970B7" w:rsidR="00933289" w:rsidRPr="005705CD" w:rsidRDefault="00D9189F" w:rsidP="005705CD">
      <w:pPr>
        <w:spacing w:before="100" w:beforeAutospacing="1" w:after="100" w:afterAutospacing="1"/>
        <w:jc w:val="both"/>
        <w:rPr>
          <w:rFonts w:cs="Times New Roman"/>
          <w:lang w:val="en-US" w:eastAsia="it-IT"/>
        </w:rPr>
      </w:pPr>
      <w:r w:rsidRPr="005705CD">
        <w:rPr>
          <w:rFonts w:cs="Times New Roman"/>
          <w:lang w:val="en-US" w:eastAsia="it-IT"/>
        </w:rPr>
        <w:t>T</w:t>
      </w:r>
      <w:r w:rsidR="00933289" w:rsidRPr="005705CD">
        <w:rPr>
          <w:rFonts w:cs="Times New Roman"/>
          <w:lang w:val="en-US" w:eastAsia="it-IT"/>
        </w:rPr>
        <w:t xml:space="preserve">he following is a preliminary analysis of sections of the draft ESMS that are more relevant and </w:t>
      </w:r>
      <w:r w:rsidRPr="005705CD">
        <w:rPr>
          <w:rFonts w:cs="Times New Roman"/>
          <w:lang w:val="en-US" w:eastAsia="it-IT"/>
        </w:rPr>
        <w:t>pertinent</w:t>
      </w:r>
      <w:r w:rsidR="00933289" w:rsidRPr="005705CD">
        <w:rPr>
          <w:rFonts w:cs="Times New Roman"/>
          <w:lang w:val="en-US" w:eastAsia="it-IT"/>
        </w:rPr>
        <w:t xml:space="preserve"> for Indigenous P</w:t>
      </w:r>
      <w:bookmarkStart w:id="0" w:name="_GoBack"/>
      <w:bookmarkEnd w:id="0"/>
      <w:r w:rsidR="00933289" w:rsidRPr="005705CD">
        <w:rPr>
          <w:rFonts w:cs="Times New Roman"/>
          <w:lang w:val="en-US" w:eastAsia="it-IT"/>
        </w:rPr>
        <w:t xml:space="preserve">eoples. It should be recalled that </w:t>
      </w:r>
      <w:proofErr w:type="spellStart"/>
      <w:r w:rsidR="00933289" w:rsidRPr="005705CD">
        <w:rPr>
          <w:rFonts w:cs="Times New Roman"/>
          <w:lang w:val="en-US" w:eastAsia="it-IT"/>
        </w:rPr>
        <w:t>Tebtebba</w:t>
      </w:r>
      <w:proofErr w:type="spellEnd"/>
      <w:r w:rsidR="00933289" w:rsidRPr="005705CD">
        <w:rPr>
          <w:rFonts w:cs="Times New Roman"/>
          <w:lang w:val="en-US" w:eastAsia="it-IT"/>
        </w:rPr>
        <w:t xml:space="preserve"> and Forest Peoples </w:t>
      </w:r>
      <w:proofErr w:type="spellStart"/>
      <w:r w:rsidR="00933289" w:rsidRPr="005705CD">
        <w:rPr>
          <w:rFonts w:cs="Times New Roman"/>
          <w:lang w:val="en-US" w:eastAsia="it-IT"/>
        </w:rPr>
        <w:t>Programme</w:t>
      </w:r>
      <w:proofErr w:type="spellEnd"/>
      <w:r w:rsidR="00933289" w:rsidRPr="005705CD">
        <w:rPr>
          <w:rFonts w:cs="Times New Roman"/>
          <w:lang w:val="en-US" w:eastAsia="it-IT"/>
        </w:rPr>
        <w:t>, together with a large group of IPOs and support organizations, provided initial fee</w:t>
      </w:r>
      <w:r w:rsidRPr="005705CD">
        <w:rPr>
          <w:rFonts w:cs="Times New Roman"/>
          <w:lang w:val="en-US" w:eastAsia="it-IT"/>
        </w:rPr>
        <w:t>d</w:t>
      </w:r>
      <w:r w:rsidR="00933289" w:rsidRPr="005705CD">
        <w:rPr>
          <w:rFonts w:cs="Times New Roman"/>
          <w:lang w:val="en-US" w:eastAsia="it-IT"/>
        </w:rPr>
        <w:t xml:space="preserve">back for the </w:t>
      </w:r>
      <w:r w:rsidRPr="005705CD">
        <w:rPr>
          <w:rFonts w:cs="Times New Roman"/>
          <w:lang w:val="en-US" w:eastAsia="it-IT"/>
        </w:rPr>
        <w:t>establishment</w:t>
      </w:r>
      <w:r w:rsidR="00933289" w:rsidRPr="005705CD">
        <w:rPr>
          <w:rFonts w:cs="Times New Roman"/>
          <w:lang w:val="en-US" w:eastAsia="it-IT"/>
        </w:rPr>
        <w:t xml:space="preserve"> of an ESMS at the Green Climate Fund, in a submission in February 2016, while also supporting the CSO submission. </w:t>
      </w:r>
    </w:p>
    <w:p w14:paraId="2206E46C" w14:textId="6E48B843"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The submission spelled out the key elements of a rights-based ESMS for the GCF.  Firstly,</w:t>
      </w:r>
      <w:r w:rsidR="00D9189F" w:rsidRPr="005705CD">
        <w:rPr>
          <w:rFonts w:cs="Times New Roman"/>
          <w:lang w:val="en-US" w:eastAsia="it-IT"/>
        </w:rPr>
        <w:t xml:space="preserve"> a</w:t>
      </w:r>
      <w:r w:rsidRPr="005705CD">
        <w:rPr>
          <w:rFonts w:cs="Times New Roman"/>
          <w:lang w:val="en-US" w:eastAsia="it-IT"/>
        </w:rPr>
        <w:t xml:space="preserve"> robust ESMS needs to be anchored to a solid human rights-based approach that acknowledges, risks and opportunities for indigenous peoples, indigenous peoples’ vulnerabilities and positive contributions to the Fund’s goals. The GCF Social and Environmental Policy should be based on highest standards and relevant UN commitments and IP Policy should be developed and a</w:t>
      </w:r>
      <w:r w:rsidR="00D9189F" w:rsidRPr="005705CD">
        <w:rPr>
          <w:rFonts w:cs="Times New Roman"/>
          <w:lang w:val="en-US" w:eastAsia="it-IT"/>
        </w:rPr>
        <w:t xml:space="preserve">dopted that would </w:t>
      </w:r>
      <w:r w:rsidRPr="005705CD">
        <w:rPr>
          <w:rFonts w:cs="Times New Roman"/>
          <w:lang w:val="en-US" w:eastAsia="it-IT"/>
        </w:rPr>
        <w:t xml:space="preserve">include, among others, the following components: </w:t>
      </w:r>
    </w:p>
    <w:p w14:paraId="7D75D427" w14:textId="77777777" w:rsidR="00933289" w:rsidRPr="005705CD" w:rsidRDefault="00933289" w:rsidP="005705CD">
      <w:pPr>
        <w:numPr>
          <w:ilvl w:val="0"/>
          <w:numId w:val="5"/>
        </w:numPr>
        <w:spacing w:before="100" w:beforeAutospacing="1" w:after="100" w:afterAutospacing="1"/>
        <w:jc w:val="both"/>
        <w:rPr>
          <w:rFonts w:cs="Times New Roman"/>
          <w:lang w:val="en-US" w:eastAsia="it-IT"/>
        </w:rPr>
      </w:pPr>
      <w:proofErr w:type="gramStart"/>
      <w:r w:rsidRPr="005705CD">
        <w:rPr>
          <w:rFonts w:cs="Times New Roman"/>
          <w:lang w:val="en-US" w:eastAsia="it-IT"/>
        </w:rPr>
        <w:t>a</w:t>
      </w:r>
      <w:proofErr w:type="gramEnd"/>
      <w:r w:rsidRPr="005705CD">
        <w:rPr>
          <w:rFonts w:cs="Times New Roman"/>
          <w:lang w:val="en-US" w:eastAsia="it-IT"/>
        </w:rPr>
        <w:t xml:space="preserve"> legal framework, including applicable international Human Rights Standards such as UNDRIP; </w:t>
      </w:r>
    </w:p>
    <w:p w14:paraId="2C58E2F7" w14:textId="77777777" w:rsidR="00933289" w:rsidRPr="005705CD" w:rsidRDefault="00933289" w:rsidP="005705CD">
      <w:pPr>
        <w:numPr>
          <w:ilvl w:val="0"/>
          <w:numId w:val="5"/>
        </w:numPr>
        <w:spacing w:before="100" w:beforeAutospacing="1" w:after="100" w:afterAutospacing="1"/>
        <w:jc w:val="both"/>
        <w:rPr>
          <w:rFonts w:cs="Times New Roman"/>
          <w:lang w:val="en-US" w:eastAsia="it-IT"/>
        </w:rPr>
      </w:pPr>
      <w:r w:rsidRPr="005705CD">
        <w:rPr>
          <w:rFonts w:cs="Times New Roman"/>
          <w:lang w:val="en-US" w:eastAsia="it-IT"/>
        </w:rPr>
        <w:t>FPIC and full and effective participation of indigenous peoples;</w:t>
      </w:r>
    </w:p>
    <w:p w14:paraId="6907EEE0" w14:textId="77777777" w:rsidR="00933289" w:rsidRPr="005705CD" w:rsidRDefault="00933289" w:rsidP="005705CD">
      <w:pPr>
        <w:numPr>
          <w:ilvl w:val="0"/>
          <w:numId w:val="5"/>
        </w:numPr>
        <w:spacing w:before="100" w:beforeAutospacing="1" w:after="100" w:afterAutospacing="1"/>
        <w:jc w:val="both"/>
        <w:rPr>
          <w:rFonts w:cs="Times New Roman"/>
          <w:lang w:val="en-US" w:eastAsia="it-IT"/>
        </w:rPr>
      </w:pPr>
      <w:proofErr w:type="gramStart"/>
      <w:r w:rsidRPr="005705CD">
        <w:rPr>
          <w:rFonts w:cs="Times New Roman"/>
          <w:lang w:val="en-US" w:eastAsia="it-IT"/>
        </w:rPr>
        <w:t>recognition</w:t>
      </w:r>
      <w:proofErr w:type="gramEnd"/>
      <w:r w:rsidRPr="005705CD">
        <w:rPr>
          <w:rFonts w:cs="Times New Roman"/>
          <w:lang w:val="en-US" w:eastAsia="it-IT"/>
        </w:rPr>
        <w:t xml:space="preserve"> of contribution of traditional knowledge and livelihoods; </w:t>
      </w:r>
    </w:p>
    <w:p w14:paraId="7063FCB6" w14:textId="77777777" w:rsidR="00933289" w:rsidRPr="005705CD" w:rsidRDefault="00933289" w:rsidP="005705CD">
      <w:pPr>
        <w:numPr>
          <w:ilvl w:val="0"/>
          <w:numId w:val="5"/>
        </w:numPr>
        <w:spacing w:before="100" w:beforeAutospacing="1" w:after="100" w:afterAutospacing="1"/>
        <w:jc w:val="both"/>
        <w:rPr>
          <w:rFonts w:cs="Times New Roman"/>
          <w:lang w:val="en-US" w:eastAsia="it-IT"/>
        </w:rPr>
      </w:pPr>
      <w:proofErr w:type="gramStart"/>
      <w:r w:rsidRPr="005705CD">
        <w:rPr>
          <w:rFonts w:cs="Times New Roman"/>
          <w:lang w:val="en-US" w:eastAsia="it-IT"/>
        </w:rPr>
        <w:t>capacity</w:t>
      </w:r>
      <w:proofErr w:type="gramEnd"/>
      <w:r w:rsidRPr="005705CD">
        <w:rPr>
          <w:rFonts w:cs="Times New Roman"/>
          <w:lang w:val="en-US" w:eastAsia="it-IT"/>
        </w:rPr>
        <w:t xml:space="preserve"> building for Secretariat and NDAs. </w:t>
      </w:r>
    </w:p>
    <w:p w14:paraId="46E2BD31" w14:textId="699706BA"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The ESMS submission also calls for the development and a</w:t>
      </w:r>
      <w:r w:rsidR="00D9189F" w:rsidRPr="005705CD">
        <w:rPr>
          <w:rFonts w:cs="Times New Roman"/>
          <w:lang w:val="en-US" w:eastAsia="it-IT"/>
        </w:rPr>
        <w:t>doption of specific guidance on</w:t>
      </w:r>
      <w:r w:rsidRPr="005705CD">
        <w:rPr>
          <w:rFonts w:cs="Times New Roman"/>
          <w:lang w:val="en-US" w:eastAsia="it-IT"/>
        </w:rPr>
        <w:t xml:space="preserve"> </w:t>
      </w:r>
      <w:proofErr w:type="gramStart"/>
      <w:r w:rsidRPr="005705CD">
        <w:rPr>
          <w:rFonts w:cs="Times New Roman"/>
          <w:lang w:val="en-US" w:eastAsia="it-IT"/>
        </w:rPr>
        <w:t>FPIC  and</w:t>
      </w:r>
      <w:proofErr w:type="gramEnd"/>
      <w:r w:rsidRPr="005705CD">
        <w:rPr>
          <w:rFonts w:cs="Times New Roman"/>
          <w:lang w:val="en-US" w:eastAsia="it-IT"/>
        </w:rPr>
        <w:t xml:space="preserve"> full and effective participation of and consultation with Indigenous Peoples </w:t>
      </w:r>
    </w:p>
    <w:p w14:paraId="0380CA02" w14:textId="77777777" w:rsidR="00933289" w:rsidRPr="005705CD" w:rsidRDefault="00933289" w:rsidP="00D97E0C">
      <w:pPr>
        <w:spacing w:before="100" w:beforeAutospacing="1" w:after="100" w:afterAutospacing="1"/>
        <w:ind w:left="360"/>
        <w:rPr>
          <w:rFonts w:cs="Times New Roman"/>
          <w:lang w:val="en-US" w:eastAsia="it-IT"/>
        </w:rPr>
      </w:pPr>
      <w:r w:rsidRPr="005705CD">
        <w:rPr>
          <w:rFonts w:cs="Times New Roman"/>
          <w:lang w:val="en-US" w:eastAsia="it-IT"/>
        </w:rPr>
        <w:t xml:space="preserve">For the full text see: </w:t>
      </w:r>
      <w:hyperlink r:id="rId8" w:history="1">
        <w:r w:rsidR="00A916FA" w:rsidRPr="005705CD">
          <w:rPr>
            <w:rStyle w:val="Hipervnculo"/>
            <w:rFonts w:cs="Times New Roman"/>
            <w:lang w:val="en-US" w:eastAsia="it-IT"/>
          </w:rPr>
          <w:t>http://www.forestpeoples.org/sites/fpp/files/news/2016/02/Indigenous%20Peoples'%20Submission%20to%20the%20GCF%20ESMS.pdf</w:t>
        </w:r>
      </w:hyperlink>
    </w:p>
    <w:p w14:paraId="6AB777E9" w14:textId="77777777" w:rsidR="00933289" w:rsidRPr="005705CD" w:rsidRDefault="00A916FA" w:rsidP="005705CD">
      <w:pPr>
        <w:spacing w:before="100" w:beforeAutospacing="1" w:after="100" w:afterAutospacing="1"/>
        <w:jc w:val="both"/>
        <w:rPr>
          <w:rFonts w:cs="Times New Roman"/>
          <w:lang w:val="en-US" w:eastAsia="it-IT"/>
        </w:rPr>
      </w:pPr>
      <w:r w:rsidRPr="005705CD">
        <w:rPr>
          <w:rFonts w:cs="Times New Roman"/>
          <w:lang w:val="en-US" w:eastAsia="it-IT"/>
        </w:rPr>
        <w:t xml:space="preserve">The following are our initial comments on the draft ESMS document. </w:t>
      </w:r>
    </w:p>
    <w:p w14:paraId="1B8013DE" w14:textId="0FF0CCDD" w:rsidR="00933289" w:rsidRPr="005705CD" w:rsidRDefault="00933289" w:rsidP="005705CD">
      <w:pPr>
        <w:spacing w:before="100" w:beforeAutospacing="1" w:after="100" w:afterAutospacing="1"/>
        <w:jc w:val="both"/>
        <w:rPr>
          <w:rFonts w:cs="Times New Roman"/>
          <w:lang w:val="en-US" w:eastAsia="it-IT"/>
        </w:rPr>
      </w:pPr>
      <w:proofErr w:type="gramStart"/>
      <w:r w:rsidRPr="005705CD">
        <w:rPr>
          <w:rFonts w:cs="Times New Roman"/>
          <w:b/>
          <w:bCs/>
          <w:lang w:val="en-US" w:eastAsia="it-IT"/>
        </w:rPr>
        <w:t>1)   the</w:t>
      </w:r>
      <w:proofErr w:type="gramEnd"/>
      <w:r w:rsidRPr="005705CD">
        <w:rPr>
          <w:rFonts w:cs="Times New Roman"/>
          <w:b/>
          <w:bCs/>
          <w:lang w:val="en-US" w:eastAsia="it-IT"/>
        </w:rPr>
        <w:t xml:space="preserve"> document intends to go beyond a “</w:t>
      </w:r>
      <w:r w:rsidR="00D9189F" w:rsidRPr="005705CD">
        <w:rPr>
          <w:rFonts w:cs="Times New Roman"/>
          <w:b/>
          <w:bCs/>
          <w:lang w:val="en-US" w:eastAsia="it-IT"/>
        </w:rPr>
        <w:t>do-no-harm”</w:t>
      </w:r>
      <w:r w:rsidRPr="005705CD">
        <w:rPr>
          <w:rFonts w:cs="Times New Roman"/>
          <w:b/>
          <w:bCs/>
          <w:lang w:val="en-US" w:eastAsia="it-IT"/>
        </w:rPr>
        <w:t xml:space="preserve"> approach but does not clarify how to “do-good” and doe</w:t>
      </w:r>
      <w:r w:rsidR="00D9189F" w:rsidRPr="005705CD">
        <w:rPr>
          <w:rFonts w:cs="Times New Roman"/>
          <w:b/>
          <w:bCs/>
          <w:lang w:val="en-US" w:eastAsia="it-IT"/>
        </w:rPr>
        <w:t>s not acknowledge the role and </w:t>
      </w:r>
      <w:r w:rsidRPr="005705CD">
        <w:rPr>
          <w:rFonts w:cs="Times New Roman"/>
          <w:b/>
          <w:bCs/>
          <w:lang w:val="en-US" w:eastAsia="it-IT"/>
        </w:rPr>
        <w:t xml:space="preserve">positive contribution of IPs traditional knowledge and livelihoods to effective adaptation and mitigation. </w:t>
      </w:r>
    </w:p>
    <w:p w14:paraId="1B86E68B" w14:textId="5DAC4038" w:rsidR="00933289" w:rsidRPr="005705CD" w:rsidRDefault="00933289" w:rsidP="005705CD">
      <w:pPr>
        <w:spacing w:after="0"/>
        <w:jc w:val="both"/>
        <w:rPr>
          <w:rFonts w:eastAsia="Times New Roman" w:cs="Times New Roman"/>
          <w:lang w:val="en-US" w:eastAsia="it-IT"/>
        </w:rPr>
      </w:pPr>
      <w:r w:rsidRPr="005705CD">
        <w:rPr>
          <w:rFonts w:eastAsia="Times New Roman" w:cs="Times New Roman"/>
          <w:lang w:val="en-US" w:eastAsia="it-IT"/>
        </w:rPr>
        <w:t>The first thing that comes up as a positive</w:t>
      </w:r>
      <w:r w:rsidR="00D9189F" w:rsidRPr="005705CD">
        <w:rPr>
          <w:rFonts w:eastAsia="Times New Roman" w:cs="Times New Roman"/>
          <w:lang w:val="en-US" w:eastAsia="it-IT"/>
        </w:rPr>
        <w:t xml:space="preserve"> development is that the draft in fact does</w:t>
      </w:r>
      <w:r w:rsidRPr="005705CD">
        <w:rPr>
          <w:rFonts w:eastAsia="Times New Roman" w:cs="Times New Roman"/>
          <w:lang w:val="en-US" w:eastAsia="it-IT"/>
        </w:rPr>
        <w:t xml:space="preserve"> not limit itself to a do-no-harm approach but rather also hints to contribute to a do-good approach by specifying that one of the</w:t>
      </w:r>
      <w:r w:rsidR="00D9189F" w:rsidRPr="005705CD">
        <w:rPr>
          <w:rFonts w:eastAsia="Times New Roman" w:cs="Times New Roman"/>
          <w:lang w:val="en-US" w:eastAsia="it-IT"/>
        </w:rPr>
        <w:t xml:space="preserve"> goals is to contribute to the </w:t>
      </w:r>
      <w:r w:rsidRPr="005705CD">
        <w:rPr>
          <w:rFonts w:eastAsia="Times New Roman" w:cs="Times New Roman"/>
          <w:lang w:val="en-US" w:eastAsia="it-IT"/>
        </w:rPr>
        <w:t xml:space="preserve">“improvement of environmental and social outcomes” Nevertheless at a further reading of the whole document, it seems that such an </w:t>
      </w:r>
      <w:r w:rsidR="00D9189F" w:rsidRPr="005705CD">
        <w:rPr>
          <w:rFonts w:eastAsia="Times New Roman" w:cs="Times New Roman"/>
          <w:lang w:val="en-US" w:eastAsia="it-IT"/>
        </w:rPr>
        <w:t>acknowledgement</w:t>
      </w:r>
      <w:r w:rsidRPr="005705CD">
        <w:rPr>
          <w:rFonts w:eastAsia="Times New Roman" w:cs="Times New Roman"/>
          <w:lang w:val="en-US" w:eastAsia="it-IT"/>
        </w:rPr>
        <w:t xml:space="preserve"> of the “do-good “component is not properly fol</w:t>
      </w:r>
      <w:r w:rsidR="00D9189F" w:rsidRPr="005705CD">
        <w:rPr>
          <w:rFonts w:eastAsia="Times New Roman" w:cs="Times New Roman"/>
          <w:lang w:val="en-US" w:eastAsia="it-IT"/>
        </w:rPr>
        <w:t>lowed up. As a matter of fact, </w:t>
      </w:r>
      <w:r w:rsidRPr="005705CD">
        <w:rPr>
          <w:rFonts w:eastAsia="Times New Roman" w:cs="Times New Roman"/>
          <w:lang w:val="en-US" w:eastAsia="it-IT"/>
        </w:rPr>
        <w:t xml:space="preserve">the whole </w:t>
      </w:r>
      <w:proofErr w:type="gramStart"/>
      <w:r w:rsidRPr="005705CD">
        <w:rPr>
          <w:rFonts w:eastAsia="Times New Roman" w:cs="Times New Roman"/>
          <w:lang w:val="en-US" w:eastAsia="it-IT"/>
        </w:rPr>
        <w:t>document  is</w:t>
      </w:r>
      <w:proofErr w:type="gramEnd"/>
      <w:r w:rsidRPr="005705CD">
        <w:rPr>
          <w:rFonts w:eastAsia="Times New Roman" w:cs="Times New Roman"/>
          <w:lang w:val="en-US" w:eastAsia="it-IT"/>
        </w:rPr>
        <w:t xml:space="preserve"> characterized by a "do-no-harm" implementation, risk prevention and management, while it does not envisage any  indicator, criteria or procedures to ensure and assess the "do-good" component, in the specific criteria to assess effective pursuit of improved environmental and social outcomes.  Such a limited approach is also evident when the document only refers to the purpose of the Environmental and Social Policy's goal of giving “</w:t>
      </w:r>
      <w:r w:rsidRPr="005705CD">
        <w:rPr>
          <w:rFonts w:eastAsia="Times New Roman" w:cs="Times New Roman"/>
          <w:i/>
          <w:iCs/>
          <w:lang w:val="en-US" w:eastAsia="it-IT"/>
        </w:rPr>
        <w:t>due consideration to vulnerable populations</w:t>
      </w:r>
      <w:r w:rsidRPr="005705CD">
        <w:rPr>
          <w:rFonts w:eastAsia="Times New Roman" w:cs="Times New Roman"/>
          <w:lang w:val="en-US" w:eastAsia="it-IT"/>
        </w:rPr>
        <w:t xml:space="preserve">”, while no acknowledgement of the potential deriving from community-based adaptation and mitigation.  It is understandable </w:t>
      </w:r>
      <w:r w:rsidRPr="005705CD">
        <w:rPr>
          <w:rFonts w:eastAsia="Times New Roman" w:cs="Times New Roman"/>
          <w:lang w:val="en-US" w:eastAsia="it-IT"/>
        </w:rPr>
        <w:lastRenderedPageBreak/>
        <w:t xml:space="preserve">that such a document, that is related to a Environmental and Social Management System, cannot realistically delve into the positive </w:t>
      </w:r>
      <w:r w:rsidR="00D9189F" w:rsidRPr="005705CD">
        <w:rPr>
          <w:rFonts w:eastAsia="Times New Roman" w:cs="Times New Roman"/>
          <w:lang w:val="en-US" w:eastAsia="it-IT"/>
        </w:rPr>
        <w:t>contributions</w:t>
      </w:r>
      <w:r w:rsidRPr="005705CD">
        <w:rPr>
          <w:rFonts w:eastAsia="Times New Roman" w:cs="Times New Roman"/>
          <w:lang w:val="en-US" w:eastAsia="it-IT"/>
        </w:rPr>
        <w:t xml:space="preserve"> of Indigenous Peoples Traditional Knowledge and livelihoods, and hence offers a narrow definition of maximized benefits (that somehow need to be spelled out: biodiversity conservation, land tenure, </w:t>
      </w:r>
      <w:r w:rsidR="00D9189F" w:rsidRPr="005705CD">
        <w:rPr>
          <w:rFonts w:eastAsia="Times New Roman" w:cs="Times New Roman"/>
          <w:lang w:val="en-US" w:eastAsia="it-IT"/>
        </w:rPr>
        <w:t>sustainable</w:t>
      </w:r>
      <w:r w:rsidRPr="005705CD">
        <w:rPr>
          <w:rFonts w:eastAsia="Times New Roman" w:cs="Times New Roman"/>
          <w:lang w:val="en-US" w:eastAsia="it-IT"/>
        </w:rPr>
        <w:t xml:space="preserve"> livelihoods, among others). Nevertheless, such a narrow approach offers a solid reason for a self-standing IP Policy whose purpose would be that of enabling the GCF to develop a “vision” on the connection between IPs and climate change, and on how IPs can contribute to the GCF stated goals, while preventing any harm that the GCF operations might do to IPs. </w:t>
      </w:r>
    </w:p>
    <w:p w14:paraId="2147337F" w14:textId="11D3E353"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 </w:t>
      </w:r>
      <w:proofErr w:type="gramStart"/>
      <w:r w:rsidRPr="005705CD">
        <w:rPr>
          <w:rFonts w:cs="Times New Roman"/>
          <w:b/>
          <w:bCs/>
          <w:lang w:val="en-US" w:eastAsia="it-IT"/>
        </w:rPr>
        <w:t>2</w:t>
      </w:r>
      <w:r w:rsidR="00A916FA" w:rsidRPr="005705CD">
        <w:rPr>
          <w:rFonts w:cs="Times New Roman"/>
          <w:b/>
          <w:bCs/>
          <w:lang w:val="en-US" w:eastAsia="it-IT"/>
        </w:rPr>
        <w:t>)</w:t>
      </w:r>
      <w:r w:rsidRPr="005705CD">
        <w:rPr>
          <w:rFonts w:cs="Times New Roman"/>
          <w:b/>
          <w:bCs/>
          <w:lang w:val="en-US" w:eastAsia="it-IT"/>
        </w:rPr>
        <w:t>    there</w:t>
      </w:r>
      <w:proofErr w:type="gramEnd"/>
      <w:r w:rsidRPr="005705CD">
        <w:rPr>
          <w:rFonts w:cs="Times New Roman"/>
          <w:b/>
          <w:bCs/>
          <w:lang w:val="en-US" w:eastAsia="it-IT"/>
        </w:rPr>
        <w:t xml:space="preserve"> is no reference to a rights-based approach, and some of the proposals on </w:t>
      </w:r>
      <w:r w:rsidR="00D9189F" w:rsidRPr="005705CD">
        <w:rPr>
          <w:rFonts w:cs="Times New Roman"/>
          <w:b/>
          <w:bCs/>
          <w:lang w:val="en-US" w:eastAsia="it-IT"/>
        </w:rPr>
        <w:t>a common approach between ESS</w:t>
      </w:r>
      <w:r w:rsidR="00A916FA" w:rsidRPr="005705CD">
        <w:rPr>
          <w:rFonts w:cs="Times New Roman"/>
          <w:b/>
          <w:bCs/>
          <w:lang w:val="en-US" w:eastAsia="it-IT"/>
        </w:rPr>
        <w:t xml:space="preserve"> and GCF standards </w:t>
      </w:r>
      <w:r w:rsidRPr="005705CD">
        <w:rPr>
          <w:rFonts w:cs="Times New Roman"/>
          <w:b/>
          <w:bCs/>
          <w:lang w:val="en-US" w:eastAsia="it-IT"/>
        </w:rPr>
        <w:t>risk lowering the bar</w:t>
      </w:r>
      <w:r w:rsidRPr="005705CD">
        <w:rPr>
          <w:rFonts w:cs="Times New Roman"/>
          <w:lang w:val="en-US" w:eastAsia="it-IT"/>
        </w:rPr>
        <w:t xml:space="preserve"> </w:t>
      </w:r>
    </w:p>
    <w:p w14:paraId="438F502D" w14:textId="5A05D8FB"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Differently from what called for in the FPP-</w:t>
      </w:r>
      <w:proofErr w:type="spellStart"/>
      <w:r w:rsidRPr="005705CD">
        <w:rPr>
          <w:rFonts w:cs="Times New Roman"/>
          <w:lang w:val="en-US" w:eastAsia="it-IT"/>
        </w:rPr>
        <w:t>Tebtebba</w:t>
      </w:r>
      <w:proofErr w:type="spellEnd"/>
      <w:r w:rsidRPr="005705CD">
        <w:rPr>
          <w:rFonts w:cs="Times New Roman"/>
          <w:lang w:val="en-US" w:eastAsia="it-IT"/>
        </w:rPr>
        <w:t xml:space="preserve"> submission on the ESMS, the paper does not specify the adoption of </w:t>
      </w:r>
      <w:r w:rsidR="00D9189F" w:rsidRPr="005705CD">
        <w:rPr>
          <w:rFonts w:cs="Times New Roman"/>
          <w:lang w:val="en-US" w:eastAsia="it-IT"/>
        </w:rPr>
        <w:t>a rights-based approach, although</w:t>
      </w:r>
      <w:r w:rsidRPr="005705CD">
        <w:rPr>
          <w:rFonts w:cs="Times New Roman"/>
          <w:lang w:val="en-US" w:eastAsia="it-IT"/>
        </w:rPr>
        <w:t xml:space="preserve"> it includes a human rights standard of “do-no-harm”. A rights-based approach cannot be limited to that component and needs to be characterized throughout the document. Furthermore</w:t>
      </w:r>
      <w:proofErr w:type="gramStart"/>
      <w:r w:rsidRPr="005705CD">
        <w:rPr>
          <w:rFonts w:cs="Times New Roman"/>
          <w:lang w:val="en-US" w:eastAsia="it-IT"/>
        </w:rPr>
        <w:t>,  when</w:t>
      </w:r>
      <w:proofErr w:type="gramEnd"/>
      <w:r w:rsidRPr="005705CD">
        <w:rPr>
          <w:rFonts w:cs="Times New Roman"/>
          <w:lang w:val="en-US" w:eastAsia="it-IT"/>
        </w:rPr>
        <w:t xml:space="preserve"> dealing with scope and application, it propose a common approach – </w:t>
      </w:r>
      <w:r w:rsidR="00A916FA" w:rsidRPr="005705CD">
        <w:rPr>
          <w:rFonts w:cs="Times New Roman"/>
          <w:lang w:val="en-US" w:eastAsia="it-IT"/>
        </w:rPr>
        <w:t>tha</w:t>
      </w:r>
      <w:r w:rsidR="00D9189F" w:rsidRPr="005705CD">
        <w:rPr>
          <w:rFonts w:cs="Times New Roman"/>
          <w:lang w:val="en-US" w:eastAsia="it-IT"/>
        </w:rPr>
        <w:t>t</w:t>
      </w:r>
      <w:r w:rsidR="00A916FA" w:rsidRPr="005705CD">
        <w:rPr>
          <w:rFonts w:cs="Times New Roman"/>
          <w:lang w:val="en-US" w:eastAsia="it-IT"/>
        </w:rPr>
        <w:t xml:space="preserve"> </w:t>
      </w:r>
      <w:r w:rsidRPr="005705CD">
        <w:rPr>
          <w:rFonts w:cs="Times New Roman"/>
          <w:i/>
          <w:iCs/>
          <w:lang w:val="en-US" w:eastAsia="it-IT"/>
        </w:rPr>
        <w:t>“will achieve the same level of environmental and social protection as the GCF policy</w:t>
      </w:r>
      <w:r w:rsidRPr="005705CD">
        <w:rPr>
          <w:rFonts w:cs="Times New Roman"/>
          <w:lang w:val="en-US" w:eastAsia="it-IT"/>
        </w:rPr>
        <w:t>” . It should be noted that at this stage the ESMS does not envisage a new set of ESS, in fact the current Interim ESS taken from the IFC performance standards will still apply. These standards are not necessarily the mo</w:t>
      </w:r>
      <w:r w:rsidR="00D9189F" w:rsidRPr="005705CD">
        <w:rPr>
          <w:rFonts w:cs="Times New Roman"/>
          <w:lang w:val="en-US" w:eastAsia="it-IT"/>
        </w:rPr>
        <w:t>st advanced and best available </w:t>
      </w:r>
      <w:r w:rsidRPr="005705CD">
        <w:rPr>
          <w:rFonts w:cs="Times New Roman"/>
          <w:lang w:val="en-US" w:eastAsia="it-IT"/>
        </w:rPr>
        <w:t>(in the case of FPIC for instance) hence the risk of refe</w:t>
      </w:r>
      <w:r w:rsidR="00D9189F" w:rsidRPr="005705CD">
        <w:rPr>
          <w:rFonts w:cs="Times New Roman"/>
          <w:lang w:val="en-US" w:eastAsia="it-IT"/>
        </w:rPr>
        <w:t>r</w:t>
      </w:r>
      <w:r w:rsidRPr="005705CD">
        <w:rPr>
          <w:rFonts w:cs="Times New Roman"/>
          <w:lang w:val="en-US" w:eastAsia="it-IT"/>
        </w:rPr>
        <w:t xml:space="preserve">ring to the GCF as benchmark might in </w:t>
      </w:r>
      <w:proofErr w:type="gramStart"/>
      <w:r w:rsidRPr="005705CD">
        <w:rPr>
          <w:rFonts w:cs="Times New Roman"/>
          <w:lang w:val="en-US" w:eastAsia="it-IT"/>
        </w:rPr>
        <w:t>fact  lower</w:t>
      </w:r>
      <w:proofErr w:type="gramEnd"/>
      <w:r w:rsidRPr="005705CD">
        <w:rPr>
          <w:rFonts w:cs="Times New Roman"/>
          <w:lang w:val="en-US" w:eastAsia="it-IT"/>
        </w:rPr>
        <w:t xml:space="preserve"> IE standards that in some cases might be higher (UN Agencies’ for instance). Hence it is suggested that the approach be reformulated to specify that in case of conflict between the GCF and IE standards, the highest and most stringent standard would apply. </w:t>
      </w:r>
    </w:p>
    <w:p w14:paraId="6C039B4C" w14:textId="62C52071"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In terms of c</w:t>
      </w:r>
      <w:r w:rsidR="00A916FA" w:rsidRPr="005705CD">
        <w:rPr>
          <w:rFonts w:cs="Times New Roman"/>
          <w:lang w:val="en-US" w:eastAsia="it-IT"/>
        </w:rPr>
        <w:t xml:space="preserve">ompliance with applicable laws, </w:t>
      </w:r>
      <w:r w:rsidRPr="005705CD">
        <w:rPr>
          <w:rFonts w:cs="Times New Roman"/>
          <w:lang w:val="en-US" w:eastAsia="it-IT"/>
        </w:rPr>
        <w:t xml:space="preserve">the ESMS </w:t>
      </w:r>
      <w:proofErr w:type="gramStart"/>
      <w:r w:rsidRPr="005705CD">
        <w:rPr>
          <w:rFonts w:cs="Times New Roman"/>
          <w:lang w:val="en-US" w:eastAsia="it-IT"/>
        </w:rPr>
        <w:t>states that</w:t>
      </w:r>
      <w:proofErr w:type="gramEnd"/>
      <w:r w:rsidRPr="005705CD">
        <w:rPr>
          <w:rFonts w:cs="Times New Roman"/>
          <w:lang w:val="en-US" w:eastAsia="it-IT"/>
        </w:rPr>
        <w:t xml:space="preserve"> “</w:t>
      </w:r>
      <w:r w:rsidRPr="005705CD">
        <w:rPr>
          <w:rFonts w:cs="Times New Roman"/>
          <w:i/>
          <w:iCs/>
          <w:lang w:val="en-US" w:eastAsia="it-IT"/>
        </w:rPr>
        <w:t>GCF would not support projects that do not comply with applicable laws, including national laws and obligations of the country directly applicable</w:t>
      </w:r>
      <w:r w:rsidR="00D9189F" w:rsidRPr="005705CD">
        <w:rPr>
          <w:rFonts w:cs="Times New Roman"/>
          <w:i/>
          <w:iCs/>
          <w:lang w:val="en-US" w:eastAsia="it-IT"/>
        </w:rPr>
        <w:t xml:space="preserve"> to the project, under relevant</w:t>
      </w:r>
      <w:r w:rsidRPr="005705CD">
        <w:rPr>
          <w:rFonts w:cs="Times New Roman"/>
          <w:i/>
          <w:iCs/>
          <w:lang w:val="en-US" w:eastAsia="it-IT"/>
        </w:rPr>
        <w:t xml:space="preserve"> </w:t>
      </w:r>
      <w:r w:rsidR="00D9189F" w:rsidRPr="005705CD">
        <w:rPr>
          <w:rFonts w:cs="Times New Roman"/>
          <w:i/>
          <w:iCs/>
          <w:lang w:val="en-US" w:eastAsia="it-IT"/>
        </w:rPr>
        <w:t>international treaties and agre</w:t>
      </w:r>
      <w:r w:rsidRPr="005705CD">
        <w:rPr>
          <w:rFonts w:cs="Times New Roman"/>
          <w:i/>
          <w:iCs/>
          <w:lang w:val="en-US" w:eastAsia="it-IT"/>
        </w:rPr>
        <w:t>ements</w:t>
      </w:r>
      <w:r w:rsidR="00A916FA" w:rsidRPr="005705CD">
        <w:rPr>
          <w:rFonts w:cs="Times New Roman"/>
          <w:lang w:val="en-US" w:eastAsia="it-IT"/>
        </w:rPr>
        <w:t>.</w:t>
      </w:r>
      <w:r w:rsidR="00D9189F" w:rsidRPr="005705CD">
        <w:rPr>
          <w:rFonts w:cs="Times New Roman"/>
          <w:lang w:val="en-US" w:eastAsia="it-IT"/>
        </w:rPr>
        <w:t>”</w:t>
      </w:r>
      <w:r w:rsidR="00A916FA" w:rsidRPr="005705CD">
        <w:rPr>
          <w:rFonts w:cs="Times New Roman"/>
          <w:lang w:val="en-US" w:eastAsia="it-IT"/>
        </w:rPr>
        <w:t xml:space="preserve"> </w:t>
      </w:r>
      <w:r w:rsidRPr="005705CD">
        <w:rPr>
          <w:rFonts w:cs="Times New Roman"/>
          <w:lang w:val="en-US" w:eastAsia="it-IT"/>
        </w:rPr>
        <w:t xml:space="preserve">This sentence is not clear, and leaves too many loopholes based on national </w:t>
      </w:r>
      <w:r w:rsidR="00D9189F" w:rsidRPr="005705CD">
        <w:rPr>
          <w:rFonts w:cs="Times New Roman"/>
          <w:lang w:val="en-US" w:eastAsia="it-IT"/>
        </w:rPr>
        <w:t>legislation that in many cases,</w:t>
      </w:r>
      <w:r w:rsidRPr="005705CD">
        <w:rPr>
          <w:rFonts w:cs="Times New Roman"/>
          <w:lang w:val="en-US" w:eastAsia="it-IT"/>
        </w:rPr>
        <w:t xml:space="preserve"> for instance in the case of IPs, does not internalize international obligations that are “directly applicable to the project”. As regards IPs, this is further evidence of the need of an IP Policy, that spells out clearly th</w:t>
      </w:r>
      <w:r w:rsidR="00D9189F" w:rsidRPr="005705CD">
        <w:rPr>
          <w:rFonts w:cs="Times New Roman"/>
          <w:lang w:val="en-US" w:eastAsia="it-IT"/>
        </w:rPr>
        <w:t>e international obligations, co</w:t>
      </w:r>
      <w:r w:rsidRPr="005705CD">
        <w:rPr>
          <w:rFonts w:cs="Times New Roman"/>
          <w:lang w:val="en-US" w:eastAsia="it-IT"/>
        </w:rPr>
        <w:t xml:space="preserve">venants, and treaties on IP rights that States, IEs and the GCF are expected to respect, as well as IP related standards for the private sector. Furthermore, the exclusive focus on project contradicts other statements made in the draft ESMS according to which the ESMS would apply to all activities supported by the Fund, including readiness for instance. </w:t>
      </w:r>
      <w:r w:rsidR="00D9189F" w:rsidRPr="005705CD">
        <w:rPr>
          <w:rFonts w:cs="Times New Roman"/>
          <w:lang w:val="en-US" w:eastAsia="it-IT"/>
        </w:rPr>
        <w:t>As it stand</w:t>
      </w:r>
      <w:r w:rsidR="00D97E0C">
        <w:rPr>
          <w:rFonts w:cs="Times New Roman"/>
          <w:lang w:val="en-US" w:eastAsia="it-IT"/>
        </w:rPr>
        <w:t>s</w:t>
      </w:r>
      <w:r w:rsidR="00D9189F" w:rsidRPr="005705CD">
        <w:rPr>
          <w:rFonts w:cs="Times New Roman"/>
          <w:lang w:val="en-US" w:eastAsia="it-IT"/>
        </w:rPr>
        <w:t xml:space="preserve"> now the draft ESMS </w:t>
      </w:r>
      <w:r w:rsidRPr="005705CD">
        <w:rPr>
          <w:rFonts w:cs="Times New Roman"/>
          <w:lang w:val="en-US" w:eastAsia="it-IT"/>
        </w:rPr>
        <w:t xml:space="preserve">risks ruling out the need to ensure that also </w:t>
      </w:r>
      <w:proofErr w:type="spellStart"/>
      <w:r w:rsidRPr="005705CD">
        <w:rPr>
          <w:rFonts w:cs="Times New Roman"/>
          <w:lang w:val="en-US" w:eastAsia="it-IT"/>
        </w:rPr>
        <w:t>programmes</w:t>
      </w:r>
      <w:proofErr w:type="spellEnd"/>
      <w:r w:rsidRPr="005705CD">
        <w:rPr>
          <w:rFonts w:cs="Times New Roman"/>
          <w:lang w:val="en-US" w:eastAsia="it-IT"/>
        </w:rPr>
        <w:t xml:space="preserve"> and plans such as readiness plans, and other activities of the GCF that are not necessarily to be considered as projects, comply with national laws and applicable international obligations. </w:t>
      </w:r>
    </w:p>
    <w:p w14:paraId="6169A15A" w14:textId="5BAFAAD5"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 xml:space="preserve">The risk of not taking into due account the best practices </w:t>
      </w:r>
      <w:r w:rsidR="00A916FA" w:rsidRPr="005705CD">
        <w:rPr>
          <w:rFonts w:cs="Times New Roman"/>
          <w:lang w:val="en-US" w:eastAsia="it-IT"/>
        </w:rPr>
        <w:t xml:space="preserve">already </w:t>
      </w:r>
      <w:r w:rsidRPr="005705CD">
        <w:rPr>
          <w:rFonts w:cs="Times New Roman"/>
          <w:lang w:val="en-US" w:eastAsia="it-IT"/>
        </w:rPr>
        <w:t>developed and applied on mitigation and adaptation is evident also in the language on REDD+. As a matter of fact, the draft ESMS calls for "</w:t>
      </w:r>
      <w:r w:rsidRPr="005705CD">
        <w:rPr>
          <w:rFonts w:cs="Times New Roman"/>
          <w:i/>
          <w:iCs/>
          <w:lang w:val="en-US" w:eastAsia="it-IT"/>
        </w:rPr>
        <w:t>Consistency with UNFCCC REDD-plus safeguards. The environmental and social requirements of the GCF will be consistent with the guidance and safeguards for policy approaches and positive incentives on issues related to REDD-plus."</w:t>
      </w:r>
    </w:p>
    <w:p w14:paraId="2C5FE585" w14:textId="053AE603"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 xml:space="preserve">Such language excludes from consideration all the standards and guidance that have been piloted and applied on REDD+ on the basis of the Cancun Safeguards, among others the REDD+ SE standards and the UNREDD’s that as regards IPs are the most advanced. So, some placeholder is needed here to refer to the policies and guidance and further operationalization of the Cancun Safeguards. Explicit reference and/or benchmarking to UNREDD and other upper level standards on IP rights can be made in the ESMS Manual or in the specific paper </w:t>
      </w:r>
      <w:r w:rsidR="00D9189F" w:rsidRPr="005705CD">
        <w:rPr>
          <w:rFonts w:cs="Times New Roman"/>
          <w:lang w:val="en-US" w:eastAsia="it-IT"/>
        </w:rPr>
        <w:t>on Results Based Finance/REDD+ </w:t>
      </w:r>
      <w:r w:rsidRPr="005705CD">
        <w:rPr>
          <w:rFonts w:cs="Times New Roman"/>
          <w:lang w:val="en-US" w:eastAsia="it-IT"/>
        </w:rPr>
        <w:t>currently under development.  Furthermore</w:t>
      </w:r>
      <w:r w:rsidR="00D9189F" w:rsidRPr="005705CD">
        <w:rPr>
          <w:rFonts w:cs="Times New Roman"/>
          <w:lang w:val="en-US" w:eastAsia="it-IT"/>
        </w:rPr>
        <w:t>,</w:t>
      </w:r>
      <w:r w:rsidRPr="005705CD">
        <w:rPr>
          <w:rFonts w:cs="Times New Roman"/>
          <w:lang w:val="en-US" w:eastAsia="it-IT"/>
        </w:rPr>
        <w:t xml:space="preserve"> it should be pointed out that as regards monitoring of compliance to REDD+ Safeguards, the Safeguards Information System envisaged at UNFCCC level, refers only to Parties’ monitoring “systems” and modalities</w:t>
      </w:r>
      <w:r w:rsidR="00A916FA" w:rsidRPr="005705CD">
        <w:rPr>
          <w:rFonts w:cs="Times New Roman"/>
          <w:lang w:val="en-US" w:eastAsia="it-IT"/>
        </w:rPr>
        <w:t>,</w:t>
      </w:r>
      <w:r w:rsidRPr="005705CD">
        <w:rPr>
          <w:rFonts w:cs="Times New Roman"/>
          <w:lang w:val="en-US" w:eastAsia="it-IT"/>
        </w:rPr>
        <w:t xml:space="preserve"> and not to qualitative assessments of safeguard compliance. </w:t>
      </w:r>
    </w:p>
    <w:p w14:paraId="75F4E166" w14:textId="4AF84054"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 xml:space="preserve">To that regard, </w:t>
      </w:r>
      <w:r w:rsidR="00A916FA" w:rsidRPr="005705CD">
        <w:rPr>
          <w:rFonts w:cs="Times New Roman"/>
          <w:lang w:val="en-US" w:eastAsia="it-IT"/>
        </w:rPr>
        <w:t xml:space="preserve">and on a positive note, </w:t>
      </w:r>
      <w:r w:rsidRPr="005705CD">
        <w:rPr>
          <w:rFonts w:cs="Times New Roman"/>
          <w:lang w:val="en-US" w:eastAsia="it-IT"/>
        </w:rPr>
        <w:t>it should also be that the ESMS suggests the possibility of recurring to additional guidance tools to assess projects, but these should be listed and refer</w:t>
      </w:r>
      <w:r w:rsidR="00D9189F" w:rsidRPr="005705CD">
        <w:rPr>
          <w:rFonts w:cs="Times New Roman"/>
          <w:lang w:val="en-US" w:eastAsia="it-IT"/>
        </w:rPr>
        <w:t>r</w:t>
      </w:r>
      <w:r w:rsidRPr="005705CD">
        <w:rPr>
          <w:rFonts w:cs="Times New Roman"/>
          <w:lang w:val="en-US" w:eastAsia="it-IT"/>
        </w:rPr>
        <w:t>ed to at least in the ESMS handbook/manual that will be developed on the basis of the ESMS</w:t>
      </w:r>
      <w:r w:rsidR="00D9189F" w:rsidRPr="005705CD">
        <w:rPr>
          <w:rFonts w:cs="Times New Roman"/>
          <w:lang w:val="en-US" w:eastAsia="it-IT"/>
        </w:rPr>
        <w:t>, and </w:t>
      </w:r>
      <w:r w:rsidRPr="005705CD">
        <w:rPr>
          <w:rFonts w:cs="Times New Roman"/>
          <w:lang w:val="en-US" w:eastAsia="it-IT"/>
        </w:rPr>
        <w:t>the GCF as well might recur to these.  The draft ESMS states that “</w:t>
      </w:r>
      <w:r w:rsidRPr="005705CD">
        <w:rPr>
          <w:rFonts w:cs="Times New Roman"/>
          <w:i/>
          <w:iCs/>
          <w:lang w:val="en-US" w:eastAsia="it-IT"/>
        </w:rPr>
        <w:t xml:space="preserve">The entities may use a variety of tools and studies to complement and strengthen further the assessment of projects. These form part of commonly accepted assessment tools such as strategic impacts assessment, regional impacts assessment, cumulative impacts assessment, and other specialized studies as may be required under specific ESS standards. The GCF may recommend additional tools and planning instruments as may be necessary to meet the national requirements and international commitments of countries.” </w:t>
      </w:r>
    </w:p>
    <w:p w14:paraId="4E780E33" w14:textId="77777777"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 </w:t>
      </w:r>
      <w:r w:rsidRPr="005705CD">
        <w:rPr>
          <w:rFonts w:cs="Times New Roman"/>
          <w:b/>
          <w:bCs/>
          <w:lang w:val="en-US" w:eastAsia="it-IT"/>
        </w:rPr>
        <w:t xml:space="preserve">3. </w:t>
      </w:r>
      <w:proofErr w:type="gramStart"/>
      <w:r w:rsidRPr="005705CD">
        <w:rPr>
          <w:rFonts w:cs="Times New Roman"/>
          <w:b/>
          <w:bCs/>
          <w:lang w:val="en-US" w:eastAsia="it-IT"/>
        </w:rPr>
        <w:t>the</w:t>
      </w:r>
      <w:proofErr w:type="gramEnd"/>
      <w:r w:rsidRPr="005705CD">
        <w:rPr>
          <w:rFonts w:cs="Times New Roman"/>
          <w:b/>
          <w:bCs/>
          <w:lang w:val="en-US" w:eastAsia="it-IT"/>
        </w:rPr>
        <w:t xml:space="preserve"> sections on Indigenous Peoples are welcome as well as reference to the UNDRIP and FPIC, but need to be better clarified and spelled out </w:t>
      </w:r>
    </w:p>
    <w:p w14:paraId="6EC59603" w14:textId="0CB8AB6D"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 xml:space="preserve">While this specific paragraph is welcome, the fact that it is </w:t>
      </w:r>
      <w:r w:rsidR="00D9189F" w:rsidRPr="005705CD">
        <w:rPr>
          <w:rFonts w:cs="Times New Roman"/>
          <w:lang w:val="en-US" w:eastAsia="it-IT"/>
        </w:rPr>
        <w:t>anchored</w:t>
      </w:r>
      <w:r w:rsidRPr="005705CD">
        <w:rPr>
          <w:rFonts w:cs="Times New Roman"/>
          <w:lang w:val="en-US" w:eastAsia="it-IT"/>
        </w:rPr>
        <w:t xml:space="preserve"> to non-committing text is reason for concern. As a matter of fact, according to the current draft, the GCF will </w:t>
      </w:r>
      <w:r w:rsidRPr="005705CD">
        <w:rPr>
          <w:rFonts w:cs="Times New Roman"/>
          <w:b/>
          <w:lang w:val="en-US" w:eastAsia="it-IT"/>
        </w:rPr>
        <w:t>seek to ensure</w:t>
      </w:r>
      <w:r w:rsidR="00D9189F" w:rsidRPr="005705CD">
        <w:rPr>
          <w:rFonts w:cs="Times New Roman"/>
          <w:lang w:val="en-US" w:eastAsia="it-IT"/>
        </w:rPr>
        <w:t xml:space="preserve"> </w:t>
      </w:r>
      <w:r w:rsidR="00697F2E" w:rsidRPr="005705CD">
        <w:rPr>
          <w:rFonts w:cs="Times New Roman"/>
          <w:lang w:val="en-US" w:eastAsia="it-IT"/>
        </w:rPr>
        <w:t xml:space="preserve">that </w:t>
      </w:r>
      <w:r w:rsidRPr="005705CD">
        <w:rPr>
          <w:rFonts w:cs="Times New Roman"/>
          <w:lang w:val="en-US" w:eastAsia="it-IT"/>
        </w:rPr>
        <w:t xml:space="preserve">(emphasis added)  </w:t>
      </w:r>
    </w:p>
    <w:p w14:paraId="2D18E8FA" w14:textId="239536C3" w:rsidR="00933289" w:rsidRPr="005705CD" w:rsidRDefault="00933289" w:rsidP="005705CD">
      <w:pPr>
        <w:spacing w:before="100" w:beforeAutospacing="1" w:after="100" w:afterAutospacing="1"/>
        <w:jc w:val="both"/>
        <w:rPr>
          <w:rFonts w:cs="Times New Roman"/>
          <w:i/>
          <w:iCs/>
          <w:lang w:val="en-US" w:eastAsia="it-IT"/>
        </w:rPr>
      </w:pPr>
      <w:r w:rsidRPr="005705CD">
        <w:rPr>
          <w:rFonts w:cs="Times New Roman"/>
          <w:i/>
          <w:iCs/>
          <w:lang w:val="en-US" w:eastAsia="it-IT"/>
        </w:rPr>
        <w:t xml:space="preserve">“All GCF financed activities will </w:t>
      </w:r>
      <w:r w:rsidRPr="005705CD">
        <w:rPr>
          <w:rFonts w:cs="Times New Roman"/>
          <w:b/>
          <w:i/>
          <w:iCs/>
          <w:lang w:val="en-US" w:eastAsia="it-IT"/>
        </w:rPr>
        <w:t>aim</w:t>
      </w:r>
      <w:r w:rsidRPr="005705CD">
        <w:rPr>
          <w:rFonts w:cs="Times New Roman"/>
          <w:i/>
          <w:iCs/>
          <w:lang w:val="en-US" w:eastAsia="it-IT"/>
        </w:rPr>
        <w:t xml:space="preserve"> to avoid </w:t>
      </w:r>
      <w:r w:rsidRPr="005705CD">
        <w:rPr>
          <w:rFonts w:cs="Times New Roman"/>
          <w:b/>
          <w:i/>
          <w:iCs/>
          <w:lang w:val="en-US" w:eastAsia="it-IT"/>
        </w:rPr>
        <w:t>adverse</w:t>
      </w:r>
      <w:r w:rsidRPr="005705CD">
        <w:rPr>
          <w:rFonts w:cs="Times New Roman"/>
          <w:i/>
          <w:iCs/>
          <w:lang w:val="en-US" w:eastAsia="it-IT"/>
        </w:rPr>
        <w:t xml:space="preserve"> impacts on indigenous peoples, promote benefits and opportunities, foster respect for the culture, and the people and preserve the indigenous culture, knowledge and pra</w:t>
      </w:r>
      <w:r w:rsidR="00D9189F" w:rsidRPr="005705CD">
        <w:rPr>
          <w:rFonts w:cs="Times New Roman"/>
          <w:i/>
          <w:iCs/>
          <w:lang w:val="en-US" w:eastAsia="it-IT"/>
        </w:rPr>
        <w:t>c</w:t>
      </w:r>
      <w:r w:rsidRPr="005705CD">
        <w:rPr>
          <w:rFonts w:cs="Times New Roman"/>
          <w:i/>
          <w:iCs/>
          <w:lang w:val="en-US" w:eastAsia="it-IT"/>
        </w:rPr>
        <w:t xml:space="preserve">tices, and will support the full and effective participation of IPs.  Design and implementation of activities will be consistent with the rights and commitments set forth in the UNDRIP, including FPIC”. </w:t>
      </w:r>
    </w:p>
    <w:p w14:paraId="2FAE8A46" w14:textId="173E8F89"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iCs/>
          <w:lang w:val="en-US" w:eastAsia="it-IT"/>
        </w:rPr>
        <w:t>“</w:t>
      </w:r>
      <w:r w:rsidRPr="005705CD">
        <w:rPr>
          <w:rFonts w:cs="Times New Roman"/>
          <w:b/>
          <w:iCs/>
          <w:lang w:val="en-US" w:eastAsia="it-IT"/>
        </w:rPr>
        <w:t>Will seek to ensure</w:t>
      </w:r>
      <w:r w:rsidRPr="005705CD">
        <w:rPr>
          <w:rFonts w:cs="Times New Roman"/>
          <w:iCs/>
          <w:lang w:val="en-US" w:eastAsia="it-IT"/>
        </w:rPr>
        <w:t>” and “</w:t>
      </w:r>
      <w:r w:rsidRPr="005705CD">
        <w:rPr>
          <w:rFonts w:cs="Times New Roman"/>
          <w:b/>
          <w:iCs/>
          <w:lang w:val="en-US" w:eastAsia="it-IT"/>
        </w:rPr>
        <w:t>aims to avoid</w:t>
      </w:r>
      <w:r w:rsidRPr="005705CD">
        <w:rPr>
          <w:rFonts w:cs="Times New Roman"/>
          <w:iCs/>
          <w:lang w:val="en-US" w:eastAsia="it-IT"/>
        </w:rPr>
        <w:t>” hint to a discretionary character of this principle that in fact would create too many legal loopholes and in fact conflict with the mandatory character of the</w:t>
      </w:r>
      <w:r w:rsidR="00D9189F" w:rsidRPr="005705CD">
        <w:rPr>
          <w:rFonts w:cs="Times New Roman"/>
          <w:iCs/>
          <w:lang w:val="en-US" w:eastAsia="it-IT"/>
        </w:rPr>
        <w:t xml:space="preserve"> interim ESS standard on IPs. </w:t>
      </w:r>
      <w:proofErr w:type="gramStart"/>
      <w:r w:rsidR="00D9189F" w:rsidRPr="005705CD">
        <w:rPr>
          <w:rFonts w:cs="Times New Roman"/>
          <w:iCs/>
          <w:lang w:val="en-US" w:eastAsia="it-IT"/>
        </w:rPr>
        <w:t>Al</w:t>
      </w:r>
      <w:r w:rsidRPr="005705CD">
        <w:rPr>
          <w:rFonts w:cs="Times New Roman"/>
          <w:iCs/>
          <w:lang w:val="en-US" w:eastAsia="it-IT"/>
        </w:rPr>
        <w:t>so the use of the term “</w:t>
      </w:r>
      <w:r w:rsidRPr="005705CD">
        <w:rPr>
          <w:rFonts w:cs="Times New Roman"/>
          <w:b/>
          <w:iCs/>
          <w:lang w:val="en-US" w:eastAsia="it-IT"/>
        </w:rPr>
        <w:t>adverse</w:t>
      </w:r>
      <w:r w:rsidRPr="005705CD">
        <w:rPr>
          <w:rFonts w:cs="Times New Roman"/>
          <w:iCs/>
          <w:lang w:val="en-US" w:eastAsia="it-IT"/>
        </w:rPr>
        <w:t>” risks creating excessive flexibility in compliance obligations, and n</w:t>
      </w:r>
      <w:r w:rsidR="00D9189F" w:rsidRPr="005705CD">
        <w:rPr>
          <w:rFonts w:cs="Times New Roman"/>
          <w:iCs/>
          <w:lang w:val="en-US" w:eastAsia="it-IT"/>
        </w:rPr>
        <w:t>eeds to be clearly specified.</w:t>
      </w:r>
      <w:proofErr w:type="gramEnd"/>
      <w:r w:rsidR="00D9189F" w:rsidRPr="005705CD">
        <w:rPr>
          <w:rFonts w:cs="Times New Roman"/>
          <w:iCs/>
          <w:lang w:val="en-US" w:eastAsia="it-IT"/>
        </w:rPr>
        <w:t xml:space="preserve"> Wh</w:t>
      </w:r>
      <w:r w:rsidRPr="005705CD">
        <w:rPr>
          <w:rFonts w:cs="Times New Roman"/>
          <w:iCs/>
          <w:lang w:val="en-US" w:eastAsia="it-IT"/>
        </w:rPr>
        <w:t xml:space="preserve">at is adverse? Who defines what is an “adverse impact”? </w:t>
      </w:r>
    </w:p>
    <w:p w14:paraId="55FB75E5" w14:textId="58FCA31A"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Furthermore, as it stands now, the text</w:t>
      </w:r>
      <w:r w:rsidR="00D9189F" w:rsidRPr="005705CD">
        <w:rPr>
          <w:rFonts w:cs="Times New Roman"/>
          <w:lang w:val="en-US" w:eastAsia="it-IT"/>
        </w:rPr>
        <w:t xml:space="preserve"> does not acknowledge the </w:t>
      </w:r>
      <w:r w:rsidRPr="005705CD">
        <w:rPr>
          <w:rFonts w:cs="Times New Roman"/>
          <w:lang w:val="en-US" w:eastAsia="it-IT"/>
        </w:rPr>
        <w:t xml:space="preserve">positive contribution of indigenous peoples’ traditional knowledge and livelihoods to adaptation and mitigation. </w:t>
      </w:r>
      <w:r w:rsidR="00D9189F" w:rsidRPr="005705CD">
        <w:rPr>
          <w:rFonts w:cs="Times New Roman"/>
          <w:lang w:val="en-US" w:eastAsia="it-IT"/>
        </w:rPr>
        <w:t>Additionally,</w:t>
      </w:r>
      <w:r w:rsidRPr="005705CD">
        <w:rPr>
          <w:rFonts w:cs="Times New Roman"/>
          <w:lang w:val="en-US" w:eastAsia="it-IT"/>
        </w:rPr>
        <w:t xml:space="preserve"> it correctly refers to FPIC, but the key issue is that until the Interim ESS are in place, the FPIC requirements contained therein do not align with international standards, including UNDRIP. So there is a need to dedicate some specific language on FPIC and what is the applicable standard and when FPIC would be applied. Somehow this can be done in the Indigenous People</w:t>
      </w:r>
      <w:r w:rsidR="00D9189F" w:rsidRPr="005705CD">
        <w:rPr>
          <w:rFonts w:cs="Times New Roman"/>
          <w:lang w:val="en-US" w:eastAsia="it-IT"/>
        </w:rPr>
        <w:t>s Policy but in the interim the</w:t>
      </w:r>
      <w:r w:rsidRPr="005705CD">
        <w:rPr>
          <w:rFonts w:cs="Times New Roman"/>
          <w:lang w:val="en-US" w:eastAsia="it-IT"/>
        </w:rPr>
        <w:t xml:space="preserve"> Adaptation Fund’s list of cases when FPIC is required could be used a starting point. And at later stage, once the ESMS and the Indigenous Peoples Policy are approved a specific   guidance on participation of indigenous peoples and FPIC should be developed and adopted. Such guidance could also be included in the planned Environmental and Social Policy of the GCF that will complement the ESMS together with a manual for ESMS.  </w:t>
      </w:r>
    </w:p>
    <w:p w14:paraId="2AE6C38F" w14:textId="77777777"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Better language is also needed with reference to screening of potential impacts on IPs. (</w:t>
      </w:r>
      <w:proofErr w:type="spellStart"/>
      <w:proofErr w:type="gramStart"/>
      <w:r w:rsidRPr="005705CD">
        <w:rPr>
          <w:rFonts w:cs="Times New Roman"/>
          <w:lang w:val="en-US" w:eastAsia="it-IT"/>
        </w:rPr>
        <w:t>para</w:t>
      </w:r>
      <w:proofErr w:type="spellEnd"/>
      <w:proofErr w:type="gramEnd"/>
      <w:r w:rsidRPr="005705CD">
        <w:rPr>
          <w:rFonts w:cs="Times New Roman"/>
          <w:lang w:val="en-US" w:eastAsia="it-IT"/>
        </w:rPr>
        <w:t xml:space="preserve"> 48 page 20)</w:t>
      </w:r>
      <w:r w:rsidR="00A916FA" w:rsidRPr="005705CD">
        <w:rPr>
          <w:rFonts w:cs="Times New Roman"/>
          <w:lang w:val="en-US" w:eastAsia="it-IT"/>
        </w:rPr>
        <w:t xml:space="preserve">. </w:t>
      </w:r>
      <w:r w:rsidRPr="005705CD">
        <w:rPr>
          <w:rFonts w:cs="Times New Roman"/>
          <w:lang w:val="en-US" w:eastAsia="it-IT"/>
        </w:rPr>
        <w:t xml:space="preserve">As it stands now the text reads as follows: </w:t>
      </w:r>
    </w:p>
    <w:p w14:paraId="71E917F8" w14:textId="33A26184"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i/>
          <w:iCs/>
          <w:lang w:val="en-US" w:eastAsia="it-IT"/>
        </w:rPr>
        <w:t xml:space="preserve"> “</w:t>
      </w:r>
      <w:proofErr w:type="gramStart"/>
      <w:r w:rsidRPr="005705CD">
        <w:rPr>
          <w:rFonts w:cs="Times New Roman"/>
          <w:i/>
          <w:iCs/>
          <w:lang w:val="en-US" w:eastAsia="it-IT"/>
        </w:rPr>
        <w:t>screening</w:t>
      </w:r>
      <w:proofErr w:type="gramEnd"/>
      <w:r w:rsidRPr="005705CD">
        <w:rPr>
          <w:rFonts w:cs="Times New Roman"/>
          <w:i/>
          <w:iCs/>
          <w:lang w:val="en-US" w:eastAsia="it-IT"/>
        </w:rPr>
        <w:t xml:space="preserve"> projects for potential impact on indigenous peoples, consistent with the objectives and requirements of the ESS standard on IPs. Where there are po</w:t>
      </w:r>
      <w:r w:rsidR="00D9189F" w:rsidRPr="005705CD">
        <w:rPr>
          <w:rFonts w:cs="Times New Roman"/>
          <w:i/>
          <w:iCs/>
          <w:lang w:val="en-US" w:eastAsia="it-IT"/>
        </w:rPr>
        <w:t>tential impacts on IPs the GCF </w:t>
      </w:r>
      <w:r w:rsidRPr="005705CD">
        <w:rPr>
          <w:rFonts w:cs="Times New Roman"/>
          <w:i/>
          <w:iCs/>
          <w:lang w:val="en-US" w:eastAsia="it-IT"/>
        </w:rPr>
        <w:t>will require the entities to prepare an indigenous peoples development plan   or a</w:t>
      </w:r>
      <w:r w:rsidR="00D9189F" w:rsidRPr="005705CD">
        <w:rPr>
          <w:rFonts w:cs="Times New Roman"/>
          <w:i/>
          <w:iCs/>
          <w:lang w:val="en-US" w:eastAsia="it-IT"/>
        </w:rPr>
        <w:t>n IP Planning framework. Scope </w:t>
      </w:r>
      <w:r w:rsidRPr="005705CD">
        <w:rPr>
          <w:rFonts w:cs="Times New Roman"/>
          <w:i/>
          <w:iCs/>
          <w:lang w:val="en-US" w:eastAsia="it-IT"/>
        </w:rPr>
        <w:t>and extent of plans will be proportional to the “vulnerability” of IPs   and extent of impacts in customary rights of use and access to land and natural resources, socioeconomic status, cultural integrity, indigenous knowledge and skills and overall welfare”</w:t>
      </w:r>
    </w:p>
    <w:p w14:paraId="164968D4" w14:textId="2B4B21D8"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 xml:space="preserve">This language is also welcome but again there are some unclear aspects. What are the categories of impacts on IPs that would trigger the requirement to prepare an IP Development Plan or </w:t>
      </w:r>
      <w:proofErr w:type="gramStart"/>
      <w:r w:rsidRPr="005705CD">
        <w:rPr>
          <w:rFonts w:cs="Times New Roman"/>
          <w:lang w:val="en-US" w:eastAsia="it-IT"/>
        </w:rPr>
        <w:t>a</w:t>
      </w:r>
      <w:proofErr w:type="gramEnd"/>
      <w:r w:rsidRPr="005705CD">
        <w:rPr>
          <w:rFonts w:cs="Times New Roman"/>
          <w:lang w:val="en-US" w:eastAsia="it-IT"/>
        </w:rPr>
        <w:t xml:space="preserve"> IP Planning Framework? There is a limited list in the second part of the </w:t>
      </w:r>
      <w:proofErr w:type="spellStart"/>
      <w:r w:rsidRPr="005705CD">
        <w:rPr>
          <w:rFonts w:cs="Times New Roman"/>
          <w:lang w:val="en-US" w:eastAsia="it-IT"/>
        </w:rPr>
        <w:t>para</w:t>
      </w:r>
      <w:proofErr w:type="spellEnd"/>
      <w:r w:rsidRPr="005705CD">
        <w:rPr>
          <w:rFonts w:cs="Times New Roman"/>
          <w:lang w:val="en-US" w:eastAsia="it-IT"/>
        </w:rPr>
        <w:t>, what</w:t>
      </w:r>
      <w:r w:rsidR="00D9189F" w:rsidRPr="005705CD">
        <w:rPr>
          <w:rFonts w:cs="Times New Roman"/>
          <w:lang w:val="en-US" w:eastAsia="it-IT"/>
        </w:rPr>
        <w:t xml:space="preserve"> might be needed is an appendix</w:t>
      </w:r>
      <w:r w:rsidRPr="005705CD">
        <w:rPr>
          <w:rFonts w:cs="Times New Roman"/>
          <w:lang w:val="en-US" w:eastAsia="it-IT"/>
        </w:rPr>
        <w:t xml:space="preserve"> listing a broader spectrum, to be developed with the direct contribution of IPs. And again, the ESS standard on IPs (notably IFC PS) does not necessarily reflect the best standard available especially as regards climate change related projects a</w:t>
      </w:r>
      <w:r w:rsidR="00D9189F" w:rsidRPr="005705CD">
        <w:rPr>
          <w:rFonts w:cs="Times New Roman"/>
          <w:lang w:val="en-US" w:eastAsia="it-IT"/>
        </w:rPr>
        <w:t xml:space="preserve">nd </w:t>
      </w:r>
      <w:proofErr w:type="spellStart"/>
      <w:r w:rsidR="00D9189F" w:rsidRPr="005705CD">
        <w:rPr>
          <w:rFonts w:cs="Times New Roman"/>
          <w:lang w:val="en-US" w:eastAsia="it-IT"/>
        </w:rPr>
        <w:t>programmes</w:t>
      </w:r>
      <w:proofErr w:type="spellEnd"/>
      <w:r w:rsidR="00D9189F" w:rsidRPr="005705CD">
        <w:rPr>
          <w:rFonts w:cs="Times New Roman"/>
          <w:lang w:val="en-US" w:eastAsia="it-IT"/>
        </w:rPr>
        <w:t>. Finally, there</w:t>
      </w:r>
      <w:r w:rsidRPr="005705CD">
        <w:rPr>
          <w:rFonts w:cs="Times New Roman"/>
          <w:lang w:val="en-US" w:eastAsia="it-IT"/>
        </w:rPr>
        <w:t xml:space="preserve"> is also an issue of consistency along the project cycle, since a project that would be assessed now on the basis of the Interim ESS might then have to be assessed monitored and evaluated using the new ESS that are likely to be developed and adopted in the coming few years. This is why on a precautionary </w:t>
      </w:r>
      <w:proofErr w:type="gramStart"/>
      <w:r w:rsidRPr="005705CD">
        <w:rPr>
          <w:rFonts w:cs="Times New Roman"/>
          <w:lang w:val="en-US" w:eastAsia="it-IT"/>
        </w:rPr>
        <w:t>basis,</w:t>
      </w:r>
      <w:proofErr w:type="gramEnd"/>
      <w:r w:rsidRPr="005705CD">
        <w:rPr>
          <w:rFonts w:cs="Times New Roman"/>
          <w:lang w:val="en-US" w:eastAsia="it-IT"/>
        </w:rPr>
        <w:t xml:space="preserve"> it would be indeed better to resort to the “higher standard” between GCF and IE’s. </w:t>
      </w:r>
    </w:p>
    <w:p w14:paraId="19473781" w14:textId="3C192271"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As regards FPIC, it is also refer</w:t>
      </w:r>
      <w:r w:rsidR="00D9189F" w:rsidRPr="005705CD">
        <w:rPr>
          <w:rFonts w:cs="Times New Roman"/>
          <w:lang w:val="en-US" w:eastAsia="it-IT"/>
        </w:rPr>
        <w:t>r</w:t>
      </w:r>
      <w:r w:rsidRPr="005705CD">
        <w:rPr>
          <w:rFonts w:cs="Times New Roman"/>
          <w:lang w:val="en-US" w:eastAsia="it-IT"/>
        </w:rPr>
        <w:t xml:space="preserve">ed to when the draft ESMS deals with stakeholder engagement plan at page 23: </w:t>
      </w:r>
      <w:r w:rsidRPr="005705CD">
        <w:rPr>
          <w:rFonts w:cs="Times New Roman"/>
          <w:i/>
          <w:iCs/>
          <w:lang w:val="en-US" w:eastAsia="it-IT"/>
        </w:rPr>
        <w:t>“Stakeholder engagement plan that describes the disclosure of information, meaningful consultation, and informed participation and in certain circumstances, FPIC as required in the ESS standards”</w:t>
      </w:r>
      <w:r w:rsidR="00A916FA" w:rsidRPr="005705CD">
        <w:rPr>
          <w:rFonts w:cs="Times New Roman"/>
          <w:lang w:val="en-US" w:eastAsia="it-IT"/>
        </w:rPr>
        <w:t xml:space="preserve">. </w:t>
      </w:r>
      <w:r w:rsidRPr="005705CD">
        <w:rPr>
          <w:rFonts w:cs="Times New Roman"/>
          <w:lang w:val="en-US" w:eastAsia="it-IT"/>
        </w:rPr>
        <w:t xml:space="preserve">Again the current interim ESS standard on FPIC does not align to international best practice. </w:t>
      </w:r>
    </w:p>
    <w:p w14:paraId="5C2902F7" w14:textId="77777777"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 xml:space="preserve">And then when it says: </w:t>
      </w:r>
      <w:r w:rsidRPr="005705CD">
        <w:rPr>
          <w:rFonts w:cs="Times New Roman"/>
          <w:i/>
          <w:iCs/>
          <w:lang w:val="en-US" w:eastAsia="it-IT"/>
        </w:rPr>
        <w:t xml:space="preserve">“(...) For activities affecting indigenous peoples, this engagement will be supported by the objectives and requirements of the ESS standard on indigenous peoples, including with respect to free, prior and informed consent. There is no universally accepted definition of free, prior and informed consent”. </w:t>
      </w:r>
    </w:p>
    <w:p w14:paraId="2C6392ED" w14:textId="056C9F8C"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Again, reference to FPIC is welcome, while the specification that there is no universally accepted definition of FPIC seems redu</w:t>
      </w:r>
      <w:r w:rsidR="00D9189F" w:rsidRPr="005705CD">
        <w:rPr>
          <w:rFonts w:cs="Times New Roman"/>
          <w:lang w:val="en-US" w:eastAsia="it-IT"/>
        </w:rPr>
        <w:t>n</w:t>
      </w:r>
      <w:r w:rsidRPr="005705CD">
        <w:rPr>
          <w:rFonts w:cs="Times New Roman"/>
          <w:lang w:val="en-US" w:eastAsia="it-IT"/>
        </w:rPr>
        <w:t>dant if not counterproductive, since it does not ensure a coherent and consistent applicat</w:t>
      </w:r>
      <w:r w:rsidR="00D9189F" w:rsidRPr="005705CD">
        <w:rPr>
          <w:rFonts w:cs="Times New Roman"/>
          <w:lang w:val="en-US" w:eastAsia="it-IT"/>
        </w:rPr>
        <w:t>i</w:t>
      </w:r>
      <w:r w:rsidRPr="005705CD">
        <w:rPr>
          <w:rFonts w:cs="Times New Roman"/>
          <w:lang w:val="en-US" w:eastAsia="it-IT"/>
        </w:rPr>
        <w:t xml:space="preserve">on of FPIC in GCF projects, leaving too much space for discretion and choice between FPIC, Broad Community Support or Free Prior Informed Consultation. Again, the Interim ESS on FPIC lists a limited set of modalities to implement FPIC.  Such a list needs to be updated for instance by using the list provided by the Adaptation Fund. As regards FPIC, for instance, </w:t>
      </w:r>
      <w:r w:rsidR="00D9189F" w:rsidRPr="005705CD">
        <w:rPr>
          <w:rFonts w:cs="Times New Roman"/>
          <w:lang w:val="en-US" w:eastAsia="it-IT"/>
        </w:rPr>
        <w:t>according to the AF ESM the IE </w:t>
      </w:r>
      <w:r w:rsidRPr="005705CD">
        <w:rPr>
          <w:rFonts w:cs="Times New Roman"/>
          <w:lang w:val="en-US" w:eastAsia="it-IT"/>
        </w:rPr>
        <w:t>will have to  </w:t>
      </w:r>
    </w:p>
    <w:p w14:paraId="030855BC" w14:textId="77777777" w:rsidR="00933289" w:rsidRPr="005705CD" w:rsidRDefault="00933289" w:rsidP="005705CD">
      <w:pPr>
        <w:spacing w:before="100" w:beforeAutospacing="1" w:after="0"/>
        <w:ind w:left="600"/>
        <w:jc w:val="both"/>
        <w:rPr>
          <w:rFonts w:cs="Times New Roman"/>
          <w:lang w:val="en-US" w:eastAsia="it-IT"/>
        </w:rPr>
      </w:pPr>
      <w:proofErr w:type="gramStart"/>
      <w:r w:rsidRPr="005705CD">
        <w:rPr>
          <w:rFonts w:cs="Arial"/>
          <w:i/>
          <w:iCs/>
          <w:lang w:val="en-US" w:eastAsia="it-IT"/>
        </w:rPr>
        <w:t>1)Describe</w:t>
      </w:r>
      <w:proofErr w:type="gramEnd"/>
      <w:r w:rsidRPr="005705CD">
        <w:rPr>
          <w:rFonts w:cs="Arial"/>
          <w:i/>
          <w:iCs/>
          <w:lang w:val="en-US" w:eastAsia="it-IT"/>
        </w:rPr>
        <w:t xml:space="preserve"> how the project/</w:t>
      </w:r>
      <w:proofErr w:type="spellStart"/>
      <w:r w:rsidRPr="005705CD">
        <w:rPr>
          <w:rFonts w:cs="Arial"/>
          <w:i/>
          <w:iCs/>
          <w:lang w:val="en-US" w:eastAsia="it-IT"/>
        </w:rPr>
        <w:t>programme</w:t>
      </w:r>
      <w:proofErr w:type="spellEnd"/>
      <w:r w:rsidRPr="005705CD">
        <w:rPr>
          <w:rFonts w:cs="Arial"/>
          <w:i/>
          <w:iCs/>
          <w:lang w:val="en-US" w:eastAsia="it-IT"/>
        </w:rPr>
        <w:t xml:space="preserve"> will be consistent with UNDRIP, and particularly with regard to Free, Prior, Informed Consent (FPIC) during project/</w:t>
      </w:r>
      <w:proofErr w:type="spellStart"/>
      <w:r w:rsidRPr="005705CD">
        <w:rPr>
          <w:rFonts w:cs="Arial"/>
          <w:i/>
          <w:iCs/>
          <w:lang w:val="en-US" w:eastAsia="it-IT"/>
        </w:rPr>
        <w:t>programme</w:t>
      </w:r>
      <w:proofErr w:type="spellEnd"/>
      <w:r w:rsidRPr="005705CD">
        <w:rPr>
          <w:rFonts w:cs="Arial"/>
          <w:i/>
          <w:iCs/>
          <w:lang w:val="en-US" w:eastAsia="it-IT"/>
        </w:rPr>
        <w:t xml:space="preserve"> design, implementation and expected outcomes related to the impacts affecting the communities of indigenous peoples. </w:t>
      </w:r>
    </w:p>
    <w:p w14:paraId="71CDB348" w14:textId="77777777" w:rsidR="00933289" w:rsidRPr="005705CD" w:rsidRDefault="00933289" w:rsidP="005705CD">
      <w:pPr>
        <w:spacing w:before="100" w:beforeAutospacing="1" w:after="0"/>
        <w:ind w:left="600"/>
        <w:jc w:val="both"/>
        <w:rPr>
          <w:rFonts w:cs="Times New Roman"/>
          <w:lang w:val="en-US" w:eastAsia="it-IT"/>
        </w:rPr>
      </w:pPr>
      <w:r w:rsidRPr="005705CD">
        <w:rPr>
          <w:rFonts w:cs="Arial"/>
          <w:i/>
          <w:iCs/>
          <w:lang w:val="en-US" w:eastAsia="it-IT"/>
        </w:rPr>
        <w:t>2) Describe the involvement of indigenous peoples in the design and the implementation of the project/</w:t>
      </w:r>
      <w:proofErr w:type="spellStart"/>
      <w:r w:rsidRPr="005705CD">
        <w:rPr>
          <w:rFonts w:cs="Arial"/>
          <w:i/>
          <w:iCs/>
          <w:lang w:val="en-US" w:eastAsia="it-IT"/>
        </w:rPr>
        <w:t>programme</w:t>
      </w:r>
      <w:proofErr w:type="spellEnd"/>
      <w:r w:rsidRPr="005705CD">
        <w:rPr>
          <w:rFonts w:cs="Arial"/>
          <w:i/>
          <w:iCs/>
          <w:lang w:val="en-US" w:eastAsia="it-IT"/>
        </w:rPr>
        <w:t xml:space="preserve">, and provide detailed outcomes of the consultation process of the indigenous peoples. </w:t>
      </w:r>
    </w:p>
    <w:p w14:paraId="7B63D4E1" w14:textId="0B207E8E" w:rsidR="00933289" w:rsidRPr="005705CD" w:rsidRDefault="00933289" w:rsidP="005705CD">
      <w:pPr>
        <w:spacing w:before="100" w:beforeAutospacing="1" w:after="0"/>
        <w:ind w:left="600"/>
        <w:jc w:val="both"/>
        <w:rPr>
          <w:rFonts w:cs="Times New Roman"/>
          <w:lang w:val="en-US" w:eastAsia="it-IT"/>
        </w:rPr>
      </w:pPr>
      <w:r w:rsidRPr="005705CD">
        <w:rPr>
          <w:rFonts w:cs="Arial"/>
          <w:i/>
          <w:iCs/>
          <w:lang w:val="en-US" w:eastAsia="it-IT"/>
        </w:rPr>
        <w:t>3) Provide documented evidence of the mutually accepted process between the project/</w:t>
      </w:r>
      <w:proofErr w:type="spellStart"/>
      <w:r w:rsidRPr="005705CD">
        <w:rPr>
          <w:rFonts w:cs="Arial"/>
          <w:i/>
          <w:iCs/>
          <w:lang w:val="en-US" w:eastAsia="it-IT"/>
        </w:rPr>
        <w:t>programme</w:t>
      </w:r>
      <w:proofErr w:type="spellEnd"/>
      <w:r w:rsidRPr="005705CD">
        <w:rPr>
          <w:rFonts w:cs="Arial"/>
          <w:i/>
          <w:iCs/>
          <w:lang w:val="en-US" w:eastAsia="it-IT"/>
        </w:rPr>
        <w:t xml:space="preserve"> and the affected communities and evidence of agreement between the parties as the outcome of t</w:t>
      </w:r>
      <w:r w:rsidR="00D9189F" w:rsidRPr="005705CD">
        <w:rPr>
          <w:rFonts w:cs="Arial"/>
          <w:i/>
          <w:iCs/>
          <w:lang w:val="en-US" w:eastAsia="it-IT"/>
        </w:rPr>
        <w:t xml:space="preserve">he negotiations. FPIC does not </w:t>
      </w:r>
      <w:r w:rsidRPr="005705CD">
        <w:rPr>
          <w:rFonts w:cs="Arial"/>
          <w:i/>
          <w:iCs/>
          <w:lang w:val="en-US" w:eastAsia="it-IT"/>
        </w:rPr>
        <w:t xml:space="preserve">necessarily require unanimity and may be achieved even when individuals or   groups within the community explicitly disagree. </w:t>
      </w:r>
    </w:p>
    <w:p w14:paraId="3FEAB918" w14:textId="77777777" w:rsidR="00933289" w:rsidRPr="005705CD" w:rsidRDefault="00933289" w:rsidP="005705CD">
      <w:pPr>
        <w:spacing w:before="100" w:beforeAutospacing="1" w:after="0"/>
        <w:ind w:left="600"/>
        <w:jc w:val="both"/>
        <w:rPr>
          <w:rFonts w:cs="Times New Roman"/>
          <w:lang w:val="en-US" w:eastAsia="it-IT"/>
        </w:rPr>
      </w:pPr>
      <w:r w:rsidRPr="005705CD">
        <w:rPr>
          <w:rFonts w:cs="Arial"/>
          <w:i/>
          <w:iCs/>
          <w:lang w:val="en-US" w:eastAsia="it-IT"/>
        </w:rPr>
        <w:t>4) Provide a summary of any reports, specific cases, or complaints that have been made with respect to the rights of indigenous peoples by the Special Rapporteur and that are relevant to the project/</w:t>
      </w:r>
      <w:proofErr w:type="spellStart"/>
      <w:r w:rsidRPr="005705CD">
        <w:rPr>
          <w:rFonts w:cs="Arial"/>
          <w:i/>
          <w:iCs/>
          <w:lang w:val="en-US" w:eastAsia="it-IT"/>
        </w:rPr>
        <w:t>programme</w:t>
      </w:r>
      <w:proofErr w:type="spellEnd"/>
      <w:r w:rsidRPr="005705CD">
        <w:rPr>
          <w:rFonts w:cs="Arial"/>
          <w:i/>
          <w:iCs/>
          <w:lang w:val="en-US" w:eastAsia="it-IT"/>
        </w:rPr>
        <w:t>. This summary should include information on subsequent actions, and how the project/</w:t>
      </w:r>
      <w:proofErr w:type="spellStart"/>
      <w:r w:rsidRPr="005705CD">
        <w:rPr>
          <w:rFonts w:cs="Arial"/>
          <w:i/>
          <w:iCs/>
          <w:lang w:val="en-US" w:eastAsia="it-IT"/>
        </w:rPr>
        <w:t>programme</w:t>
      </w:r>
      <w:proofErr w:type="spellEnd"/>
      <w:r w:rsidRPr="005705CD">
        <w:rPr>
          <w:rFonts w:cs="Arial"/>
          <w:i/>
          <w:iCs/>
          <w:lang w:val="en-US" w:eastAsia="it-IT"/>
        </w:rPr>
        <w:t xml:space="preserve"> will specifically ensure consistency with the UNDRIP on the issues that were raised".  </w:t>
      </w:r>
    </w:p>
    <w:p w14:paraId="2ACBA337" w14:textId="22798968"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 </w:t>
      </w:r>
      <w:r w:rsidRPr="005705CD">
        <w:rPr>
          <w:rFonts w:cs="Times New Roman"/>
          <w:b/>
          <w:lang w:val="en-US" w:eastAsia="it-IT"/>
        </w:rPr>
        <w:t xml:space="preserve">4. </w:t>
      </w:r>
      <w:proofErr w:type="gramStart"/>
      <w:r w:rsidR="004F3B22" w:rsidRPr="005705CD">
        <w:rPr>
          <w:rFonts w:cs="Times New Roman"/>
          <w:b/>
          <w:lang w:val="en-US" w:eastAsia="it-IT"/>
        </w:rPr>
        <w:t>information</w:t>
      </w:r>
      <w:proofErr w:type="gramEnd"/>
      <w:r w:rsidR="004F3B22" w:rsidRPr="005705CD">
        <w:rPr>
          <w:rFonts w:cs="Times New Roman"/>
          <w:b/>
          <w:lang w:val="en-US" w:eastAsia="it-IT"/>
        </w:rPr>
        <w:t xml:space="preserve"> disclosure and stakeholder engagement </w:t>
      </w:r>
      <w:r w:rsidRPr="005705CD">
        <w:rPr>
          <w:rFonts w:cs="Times New Roman"/>
          <w:b/>
          <w:lang w:val="en-US" w:eastAsia="it-IT"/>
        </w:rPr>
        <w:t xml:space="preserve">standards will have to be tailored to the particular status of Indigenous Peoples </w:t>
      </w:r>
    </w:p>
    <w:p w14:paraId="6141321F" w14:textId="6F07AD8D" w:rsidR="00933289" w:rsidRPr="005705CD" w:rsidRDefault="00933289" w:rsidP="005705CD">
      <w:pPr>
        <w:spacing w:after="0"/>
        <w:jc w:val="both"/>
        <w:rPr>
          <w:rFonts w:eastAsia="Times New Roman" w:cs="Times New Roman"/>
          <w:lang w:val="en-US" w:eastAsia="it-IT"/>
        </w:rPr>
      </w:pPr>
      <w:r w:rsidRPr="005705CD">
        <w:rPr>
          <w:rFonts w:eastAsia="Times New Roman" w:cs="Times New Roman"/>
          <w:lang w:val="en-US" w:eastAsia="it-IT"/>
        </w:rPr>
        <w:t xml:space="preserve">As to information disclosure and stakeholder engagement, the reference to the need to ensure a culturally appropriate process and also publish documents in local languages is welcome. However, given the specificity of IPs is </w:t>
      </w:r>
      <w:r w:rsidR="008F300F" w:rsidRPr="005705CD">
        <w:rPr>
          <w:rFonts w:eastAsia="Times New Roman" w:cs="Times New Roman"/>
          <w:lang w:val="en-US" w:eastAsia="it-IT"/>
        </w:rPr>
        <w:t>we recommend</w:t>
      </w:r>
      <w:r w:rsidRPr="005705CD">
        <w:rPr>
          <w:rFonts w:eastAsia="Times New Roman" w:cs="Times New Roman"/>
          <w:lang w:val="en-US" w:eastAsia="it-IT"/>
        </w:rPr>
        <w:t xml:space="preserve"> that a dedicated “Indigenous Peoples Consultation and Engagement guidance” be developed that could also include guidance on FPIC or that these elements be properly addressed in the ESMS Manual and the IP Policy. </w:t>
      </w:r>
    </w:p>
    <w:p w14:paraId="1D2CB17F" w14:textId="1E7B2CF8" w:rsidR="00933289" w:rsidRPr="005705CD" w:rsidRDefault="008F300F" w:rsidP="005705CD">
      <w:pPr>
        <w:spacing w:before="100" w:beforeAutospacing="1" w:after="100" w:afterAutospacing="1"/>
        <w:jc w:val="both"/>
        <w:rPr>
          <w:rFonts w:cs="Times New Roman"/>
          <w:lang w:val="en-US" w:eastAsia="it-IT"/>
        </w:rPr>
      </w:pPr>
      <w:r w:rsidRPr="005705CD">
        <w:rPr>
          <w:rFonts w:cs="Times New Roman"/>
          <w:iCs/>
          <w:lang w:val="en-US" w:eastAsia="it-IT"/>
        </w:rPr>
        <w:t>The draft ESMS state</w:t>
      </w:r>
      <w:r w:rsidR="00933289" w:rsidRPr="005705CD">
        <w:rPr>
          <w:rFonts w:cs="Times New Roman"/>
          <w:iCs/>
          <w:lang w:val="en-US" w:eastAsia="it-IT"/>
        </w:rPr>
        <w:t>s</w:t>
      </w:r>
      <w:r w:rsidRPr="005705CD">
        <w:rPr>
          <w:rFonts w:cs="Times New Roman"/>
          <w:iCs/>
          <w:lang w:val="en-US" w:eastAsia="it-IT"/>
        </w:rPr>
        <w:t xml:space="preserve"> </w:t>
      </w:r>
      <w:r w:rsidR="00933289" w:rsidRPr="005705CD">
        <w:rPr>
          <w:rFonts w:cs="Times New Roman"/>
          <w:iCs/>
          <w:lang w:val="en-US" w:eastAsia="it-IT"/>
        </w:rPr>
        <w:t>as follows</w:t>
      </w:r>
      <w:r w:rsidR="00933289" w:rsidRPr="005705CD">
        <w:rPr>
          <w:rFonts w:cs="Times New Roman"/>
          <w:i/>
          <w:iCs/>
          <w:lang w:val="en-US" w:eastAsia="it-IT"/>
        </w:rPr>
        <w:t xml:space="preserve">: “Stakeholder engagement and disclosure. The ESMS of the GCF ensures that there is broad multi-stakeholder support and participation in planning and implementing GCF -financed activities, including measures to manage environmental and social risks and impacts. The process to </w:t>
      </w:r>
      <w:proofErr w:type="gramStart"/>
      <w:r w:rsidR="00933289" w:rsidRPr="005705CD">
        <w:rPr>
          <w:rFonts w:cs="Times New Roman"/>
          <w:i/>
          <w:iCs/>
          <w:lang w:val="en-US" w:eastAsia="it-IT"/>
        </w:rPr>
        <w:t>build  support</w:t>
      </w:r>
      <w:proofErr w:type="gramEnd"/>
      <w:r w:rsidR="00933289" w:rsidRPr="005705CD">
        <w:rPr>
          <w:rFonts w:cs="Times New Roman"/>
          <w:i/>
          <w:iCs/>
          <w:lang w:val="en-US" w:eastAsia="it-IT"/>
        </w:rPr>
        <w:t xml:space="preserve"> will be inclusive, gender-responsive, culturally appropriate and supported by the disclosure of relevant information;</w:t>
      </w:r>
    </w:p>
    <w:p w14:paraId="56A20DA2" w14:textId="77777777"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b/>
          <w:lang w:val="en-US" w:eastAsia="it-IT"/>
        </w:rPr>
        <w:t xml:space="preserve">6. Modalities to screen, assess and manage risks appear vague and need to be better specified. </w:t>
      </w:r>
    </w:p>
    <w:p w14:paraId="21F1D80B" w14:textId="78A3C88D"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lang w:val="en-US" w:eastAsia="it-IT"/>
        </w:rPr>
        <w:t> In some parts the ESMS draft seems to be too vague and discretional when dealing with screening and risk categorization refe</w:t>
      </w:r>
      <w:r w:rsidR="00D9189F" w:rsidRPr="005705CD">
        <w:rPr>
          <w:rFonts w:cs="Times New Roman"/>
          <w:lang w:val="en-US" w:eastAsia="it-IT"/>
        </w:rPr>
        <w:t>r</w:t>
      </w:r>
      <w:r w:rsidRPr="005705CD">
        <w:rPr>
          <w:rFonts w:cs="Times New Roman"/>
          <w:lang w:val="en-US" w:eastAsia="it-IT"/>
        </w:rPr>
        <w:t>ring to “</w:t>
      </w:r>
      <w:r w:rsidRPr="005705CD">
        <w:rPr>
          <w:rFonts w:cs="Times New Roman"/>
          <w:b/>
          <w:lang w:val="en-US" w:eastAsia="it-IT"/>
        </w:rPr>
        <w:t>sensitivity</w:t>
      </w:r>
      <w:r w:rsidRPr="005705CD">
        <w:rPr>
          <w:rFonts w:cs="Times New Roman"/>
          <w:lang w:val="en-US" w:eastAsia="it-IT"/>
        </w:rPr>
        <w:t xml:space="preserve">” of communities for instance: </w:t>
      </w:r>
    </w:p>
    <w:p w14:paraId="55F9EFD1" w14:textId="3E51C78D" w:rsidR="00933289" w:rsidRPr="005705CD" w:rsidRDefault="00933289" w:rsidP="005705CD">
      <w:pPr>
        <w:spacing w:before="100" w:beforeAutospacing="1" w:after="100" w:afterAutospacing="1"/>
        <w:jc w:val="both"/>
        <w:rPr>
          <w:rFonts w:cs="Times New Roman"/>
          <w:i/>
          <w:lang w:val="en-US" w:eastAsia="it-IT"/>
        </w:rPr>
      </w:pPr>
      <w:r w:rsidRPr="005705CD">
        <w:rPr>
          <w:rFonts w:cs="Times New Roman"/>
          <w:i/>
          <w:lang w:val="en-US" w:eastAsia="it-IT"/>
        </w:rPr>
        <w:t>“</w:t>
      </w:r>
      <w:proofErr w:type="gramStart"/>
      <w:r w:rsidRPr="005705CD">
        <w:rPr>
          <w:rFonts w:cs="Times New Roman"/>
          <w:i/>
          <w:lang w:val="en-US" w:eastAsia="it-IT"/>
        </w:rPr>
        <w:t>screening</w:t>
      </w:r>
      <w:proofErr w:type="gramEnd"/>
      <w:r w:rsidRPr="005705CD">
        <w:rPr>
          <w:rFonts w:cs="Times New Roman"/>
          <w:i/>
          <w:lang w:val="en-US" w:eastAsia="it-IT"/>
        </w:rPr>
        <w:t xml:space="preserve"> and risk categorization is proportional to nature, scal</w:t>
      </w:r>
      <w:r w:rsidR="00D9189F" w:rsidRPr="005705CD">
        <w:rPr>
          <w:rFonts w:cs="Times New Roman"/>
          <w:i/>
          <w:lang w:val="en-US" w:eastAsia="it-IT"/>
        </w:rPr>
        <w:t>e</w:t>
      </w:r>
      <w:r w:rsidRPr="005705CD">
        <w:rPr>
          <w:rFonts w:cs="Times New Roman"/>
          <w:i/>
          <w:lang w:val="en-US" w:eastAsia="it-IT"/>
        </w:rPr>
        <w:t>, and location of project and its environmental and social risks --- ad the “sensitivity</w:t>
      </w:r>
      <w:r w:rsidR="008F300F" w:rsidRPr="005705CD">
        <w:rPr>
          <w:rFonts w:cs="Times New Roman"/>
          <w:i/>
          <w:lang w:val="en-US" w:eastAsia="it-IT"/>
        </w:rPr>
        <w:t>”</w:t>
      </w:r>
      <w:r w:rsidRPr="005705CD">
        <w:rPr>
          <w:rFonts w:cs="Times New Roman"/>
          <w:i/>
          <w:lang w:val="en-US" w:eastAsia="it-IT"/>
        </w:rPr>
        <w:t xml:space="preserve"> of the receiving environments and communities</w:t>
      </w:r>
    </w:p>
    <w:p w14:paraId="70720C40" w14:textId="4A3994EE" w:rsidR="00933289" w:rsidRPr="005705CD" w:rsidRDefault="00933289" w:rsidP="005705CD">
      <w:pPr>
        <w:spacing w:before="100" w:beforeAutospacing="1" w:after="100" w:afterAutospacing="1"/>
        <w:jc w:val="both"/>
        <w:rPr>
          <w:rFonts w:cs="Times New Roman"/>
          <w:lang w:val="en-US" w:eastAsia="it-IT"/>
        </w:rPr>
      </w:pPr>
      <w:r w:rsidRPr="005705CD">
        <w:rPr>
          <w:rFonts w:cs="Times New Roman"/>
          <w:i/>
          <w:lang w:val="en-US" w:eastAsia="it-IT"/>
        </w:rPr>
        <w:t> </w:t>
      </w:r>
      <w:r w:rsidRPr="005705CD">
        <w:rPr>
          <w:rFonts w:cs="Times New Roman"/>
          <w:lang w:val="en-US" w:eastAsia="it-IT"/>
        </w:rPr>
        <w:t>Or when in various occasions when dealing with managing environmental and social risks it refers various times to the fact that issues will be addressed but does not spec</w:t>
      </w:r>
      <w:r w:rsidR="00D9189F" w:rsidRPr="005705CD">
        <w:rPr>
          <w:rFonts w:cs="Times New Roman"/>
          <w:lang w:val="en-US" w:eastAsia="it-IT"/>
        </w:rPr>
        <w:t>i</w:t>
      </w:r>
      <w:r w:rsidRPr="005705CD">
        <w:rPr>
          <w:rFonts w:cs="Times New Roman"/>
          <w:lang w:val="en-US" w:eastAsia="it-IT"/>
        </w:rPr>
        <w:t>fy how and when and how to assess, and in particular what are the risks to assess</w:t>
      </w:r>
      <w:r w:rsidR="00A916FA" w:rsidRPr="005705CD">
        <w:rPr>
          <w:rFonts w:cs="Times New Roman"/>
          <w:lang w:val="en-US" w:eastAsia="it-IT"/>
        </w:rPr>
        <w:t xml:space="preserve"> and whether and how indigenous peoples can be engaged in developing participatory risk assessment and categorization. </w:t>
      </w:r>
    </w:p>
    <w:p w14:paraId="2B9917C6" w14:textId="48B96E41" w:rsidR="004F3B22" w:rsidRPr="005705CD" w:rsidRDefault="004F3B22" w:rsidP="005705CD">
      <w:pPr>
        <w:spacing w:before="100" w:beforeAutospacing="1" w:after="100" w:afterAutospacing="1"/>
        <w:jc w:val="both"/>
        <w:rPr>
          <w:rFonts w:cs="Times New Roman"/>
          <w:lang w:val="en-US" w:eastAsia="it-IT"/>
        </w:rPr>
      </w:pPr>
      <w:r w:rsidRPr="005705CD">
        <w:rPr>
          <w:rFonts w:cs="Times New Roman"/>
          <w:lang w:val="en-US" w:eastAsia="it-IT"/>
        </w:rPr>
        <w:t>7</w:t>
      </w:r>
      <w:r w:rsidR="008F300F" w:rsidRPr="005705CD">
        <w:rPr>
          <w:rFonts w:cs="Times New Roman"/>
          <w:lang w:val="en-US" w:eastAsia="it-IT"/>
        </w:rPr>
        <w:t xml:space="preserve">.   </w:t>
      </w:r>
      <w:r w:rsidR="008F300F" w:rsidRPr="005705CD">
        <w:rPr>
          <w:rFonts w:cs="Times New Roman"/>
          <w:b/>
          <w:lang w:val="en-US" w:eastAsia="it-IT"/>
        </w:rPr>
        <w:t xml:space="preserve">IRM draft </w:t>
      </w:r>
      <w:proofErr w:type="spellStart"/>
      <w:r w:rsidR="008F300F" w:rsidRPr="005705CD">
        <w:rPr>
          <w:rFonts w:cs="Times New Roman"/>
          <w:b/>
          <w:lang w:val="en-US" w:eastAsia="it-IT"/>
        </w:rPr>
        <w:t>ToRs</w:t>
      </w:r>
      <w:proofErr w:type="spellEnd"/>
      <w:r w:rsidR="008F300F" w:rsidRPr="005705CD">
        <w:rPr>
          <w:rFonts w:cs="Times New Roman"/>
          <w:b/>
          <w:lang w:val="en-US" w:eastAsia="it-IT"/>
        </w:rPr>
        <w:t xml:space="preserve"> inconsistent with IRM section in ESMS</w:t>
      </w:r>
    </w:p>
    <w:p w14:paraId="6DBE6FB5" w14:textId="662833DD" w:rsidR="008F300F" w:rsidRPr="005705CD" w:rsidRDefault="008F300F" w:rsidP="005705CD">
      <w:pPr>
        <w:spacing w:before="100" w:beforeAutospacing="1" w:after="100" w:afterAutospacing="1"/>
        <w:jc w:val="both"/>
        <w:rPr>
          <w:rFonts w:cs="Times New Roman"/>
          <w:lang w:val="en-US" w:eastAsia="it-IT"/>
        </w:rPr>
      </w:pPr>
      <w:r w:rsidRPr="005705CD">
        <w:rPr>
          <w:rFonts w:cs="Times New Roman"/>
          <w:lang w:val="en-US" w:eastAsia="it-IT"/>
        </w:rPr>
        <w:t>The proposed text on IRM included welcome language according to which also potential</w:t>
      </w:r>
      <w:r w:rsidR="00D9189F" w:rsidRPr="005705CD">
        <w:rPr>
          <w:rFonts w:cs="Times New Roman"/>
          <w:lang w:val="en-US" w:eastAsia="it-IT"/>
        </w:rPr>
        <w:t>l</w:t>
      </w:r>
      <w:r w:rsidRPr="005705CD">
        <w:rPr>
          <w:rFonts w:cs="Times New Roman"/>
          <w:lang w:val="en-US" w:eastAsia="it-IT"/>
        </w:rPr>
        <w:t>y affected parties can seek redress and also widens the trigger for recourse beyond non-complianc</w:t>
      </w:r>
      <w:r w:rsidR="00D9189F" w:rsidRPr="005705CD">
        <w:rPr>
          <w:rFonts w:cs="Times New Roman"/>
          <w:lang w:val="en-US" w:eastAsia="it-IT"/>
        </w:rPr>
        <w:t>e</w:t>
      </w:r>
      <w:r w:rsidRPr="005705CD">
        <w:rPr>
          <w:rFonts w:cs="Times New Roman"/>
          <w:lang w:val="en-US" w:eastAsia="it-IT"/>
        </w:rPr>
        <w:t xml:space="preserve"> with safeguards. We welcome this, and suggest that the IRM </w:t>
      </w:r>
      <w:proofErr w:type="spellStart"/>
      <w:r w:rsidRPr="005705CD">
        <w:rPr>
          <w:rFonts w:cs="Times New Roman"/>
          <w:lang w:val="en-US" w:eastAsia="it-IT"/>
        </w:rPr>
        <w:t>ToRs</w:t>
      </w:r>
      <w:proofErr w:type="spellEnd"/>
      <w:r w:rsidRPr="005705CD">
        <w:rPr>
          <w:rFonts w:cs="Times New Roman"/>
          <w:lang w:val="en-US" w:eastAsia="it-IT"/>
        </w:rPr>
        <w:t xml:space="preserve"> are revised accordingly. </w:t>
      </w:r>
    </w:p>
    <w:p w14:paraId="67CF263D" w14:textId="42DF05D7" w:rsidR="00357576" w:rsidRPr="005705CD" w:rsidRDefault="008F300F" w:rsidP="005705CD">
      <w:pPr>
        <w:spacing w:before="100" w:beforeAutospacing="1" w:after="100" w:afterAutospacing="1"/>
        <w:jc w:val="both"/>
        <w:rPr>
          <w:rFonts w:cs="Times New Roman"/>
          <w:i/>
          <w:lang w:val="en-US" w:eastAsia="it-IT"/>
        </w:rPr>
      </w:pPr>
      <w:r w:rsidRPr="005705CD">
        <w:rPr>
          <w:rFonts w:cs="Times New Roman"/>
          <w:i/>
          <w:lang w:val="en-US" w:eastAsia="it-IT"/>
        </w:rPr>
        <w:t xml:space="preserve"> “At GCF level, the IRM will address grievances</w:t>
      </w:r>
      <w:r w:rsidR="00D9189F" w:rsidRPr="005705CD">
        <w:rPr>
          <w:rFonts w:cs="Times New Roman"/>
          <w:i/>
          <w:lang w:val="en-US" w:eastAsia="it-IT"/>
        </w:rPr>
        <w:t xml:space="preserve"> by people who may or have been</w:t>
      </w:r>
      <w:r w:rsidRPr="005705CD">
        <w:rPr>
          <w:rFonts w:cs="Times New Roman"/>
          <w:i/>
          <w:lang w:val="en-US" w:eastAsia="it-IT"/>
        </w:rPr>
        <w:t xml:space="preserve"> </w:t>
      </w:r>
      <w:proofErr w:type="gramStart"/>
      <w:r w:rsidRPr="005705CD">
        <w:rPr>
          <w:rFonts w:cs="Times New Roman"/>
          <w:i/>
          <w:lang w:val="en-US" w:eastAsia="it-IT"/>
        </w:rPr>
        <w:t>affected  by</w:t>
      </w:r>
      <w:proofErr w:type="gramEnd"/>
      <w:r w:rsidRPr="005705CD">
        <w:rPr>
          <w:rFonts w:cs="Times New Roman"/>
          <w:i/>
          <w:lang w:val="en-US" w:eastAsia="it-IT"/>
        </w:rPr>
        <w:t xml:space="preserve"> the adverse impacts through the failure of GCF funded activities to implement its operational policies including ESS”</w:t>
      </w:r>
    </w:p>
    <w:p w14:paraId="22B1EB48" w14:textId="77777777" w:rsidR="008F300F" w:rsidRPr="005705CD" w:rsidRDefault="008F300F" w:rsidP="005705CD">
      <w:pPr>
        <w:spacing w:before="100" w:beforeAutospacing="1" w:after="100" w:afterAutospacing="1"/>
        <w:jc w:val="both"/>
        <w:rPr>
          <w:rFonts w:cs="Times New Roman"/>
          <w:i/>
          <w:lang w:val="en-US" w:eastAsia="it-IT"/>
        </w:rPr>
      </w:pPr>
    </w:p>
    <w:p w14:paraId="624CDF98" w14:textId="77777777" w:rsidR="00A30708" w:rsidRPr="005705CD" w:rsidRDefault="00A30708" w:rsidP="005705CD">
      <w:pPr>
        <w:jc w:val="both"/>
        <w:rPr>
          <w:lang w:val="en-US"/>
        </w:rPr>
      </w:pPr>
    </w:p>
    <w:sectPr w:rsidR="00A30708" w:rsidRPr="005705CD" w:rsidSect="00FE355C">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9EC83" w14:textId="77777777" w:rsidR="0022672B" w:rsidRDefault="0022672B" w:rsidP="00D97E0C">
      <w:pPr>
        <w:spacing w:after="0"/>
      </w:pPr>
      <w:r>
        <w:separator/>
      </w:r>
    </w:p>
  </w:endnote>
  <w:endnote w:type="continuationSeparator" w:id="0">
    <w:p w14:paraId="736C0C82" w14:textId="77777777" w:rsidR="0022672B" w:rsidRDefault="0022672B" w:rsidP="00D97E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085E5" w14:textId="77777777" w:rsidR="0022672B" w:rsidRDefault="0022672B" w:rsidP="00D97E0C">
      <w:pPr>
        <w:spacing w:after="0"/>
      </w:pPr>
      <w:r>
        <w:separator/>
      </w:r>
    </w:p>
  </w:footnote>
  <w:footnote w:type="continuationSeparator" w:id="0">
    <w:p w14:paraId="231E8AC7" w14:textId="77777777" w:rsidR="0022672B" w:rsidRDefault="0022672B" w:rsidP="00D97E0C">
      <w:pPr>
        <w:spacing w:after="0"/>
      </w:pPr>
      <w:r>
        <w:continuationSeparator/>
      </w:r>
    </w:p>
  </w:footnote>
  <w:footnote w:id="1">
    <w:p w14:paraId="4728CF17" w14:textId="6B9C35B4" w:rsidR="00D97E0C" w:rsidRPr="00D97E0C" w:rsidRDefault="00D97E0C">
      <w:pPr>
        <w:pStyle w:val="Textonotapie"/>
        <w:rPr>
          <w:lang w:val="en-US"/>
        </w:rPr>
      </w:pPr>
      <w:r>
        <w:rPr>
          <w:rStyle w:val="Refdenotaalpie"/>
        </w:rPr>
        <w:footnoteRef/>
      </w:r>
      <w:r>
        <w:t xml:space="preserve"> </w:t>
      </w:r>
      <w:r w:rsidRPr="00D97E0C">
        <w:rPr>
          <w:rFonts w:cs="Times New Roman"/>
          <w:i/>
          <w:sz w:val="20"/>
          <w:szCs w:val="20"/>
          <w:lang w:val="en-US" w:eastAsia="it-IT"/>
        </w:rPr>
        <w:t xml:space="preserve"> </w:t>
      </w:r>
      <w:proofErr w:type="gramStart"/>
      <w:r w:rsidRPr="00D97E0C">
        <w:rPr>
          <w:rFonts w:cs="Times New Roman"/>
          <w:i/>
          <w:sz w:val="20"/>
          <w:szCs w:val="20"/>
          <w:lang w:val="en-US" w:eastAsia="it-IT"/>
        </w:rPr>
        <w:t>these</w:t>
      </w:r>
      <w:proofErr w:type="gramEnd"/>
      <w:r w:rsidRPr="00D97E0C">
        <w:rPr>
          <w:rFonts w:cs="Times New Roman"/>
          <w:i/>
          <w:sz w:val="20"/>
          <w:szCs w:val="20"/>
          <w:lang w:val="en-US" w:eastAsia="it-IT"/>
        </w:rPr>
        <w:t xml:space="preserve"> inputs have been incorporated in the overall CSO submission to the GCF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1E7"/>
    <w:multiLevelType w:val="hybridMultilevel"/>
    <w:tmpl w:val="F14A59A2"/>
    <w:lvl w:ilvl="0" w:tplc="0428B7B0">
      <w:start w:val="1"/>
      <w:numFmt w:val="bullet"/>
      <w:lvlText w:val=""/>
      <w:lvlJc w:val="left"/>
      <w:pPr>
        <w:tabs>
          <w:tab w:val="num" w:pos="720"/>
        </w:tabs>
        <w:ind w:left="720" w:hanging="360"/>
      </w:pPr>
      <w:rPr>
        <w:rFonts w:ascii="Wingdings 2" w:hAnsi="Wingdings 2" w:hint="default"/>
      </w:rPr>
    </w:lvl>
    <w:lvl w:ilvl="1" w:tplc="7318F8B4" w:tentative="1">
      <w:start w:val="1"/>
      <w:numFmt w:val="bullet"/>
      <w:lvlText w:val=""/>
      <w:lvlJc w:val="left"/>
      <w:pPr>
        <w:tabs>
          <w:tab w:val="num" w:pos="1440"/>
        </w:tabs>
        <w:ind w:left="1440" w:hanging="360"/>
      </w:pPr>
      <w:rPr>
        <w:rFonts w:ascii="Wingdings 2" w:hAnsi="Wingdings 2" w:hint="default"/>
      </w:rPr>
    </w:lvl>
    <w:lvl w:ilvl="2" w:tplc="BB68211C" w:tentative="1">
      <w:start w:val="1"/>
      <w:numFmt w:val="bullet"/>
      <w:lvlText w:val=""/>
      <w:lvlJc w:val="left"/>
      <w:pPr>
        <w:tabs>
          <w:tab w:val="num" w:pos="2160"/>
        </w:tabs>
        <w:ind w:left="2160" w:hanging="360"/>
      </w:pPr>
      <w:rPr>
        <w:rFonts w:ascii="Wingdings 2" w:hAnsi="Wingdings 2" w:hint="default"/>
      </w:rPr>
    </w:lvl>
    <w:lvl w:ilvl="3" w:tplc="92F8B202" w:tentative="1">
      <w:start w:val="1"/>
      <w:numFmt w:val="bullet"/>
      <w:lvlText w:val=""/>
      <w:lvlJc w:val="left"/>
      <w:pPr>
        <w:tabs>
          <w:tab w:val="num" w:pos="2880"/>
        </w:tabs>
        <w:ind w:left="2880" w:hanging="360"/>
      </w:pPr>
      <w:rPr>
        <w:rFonts w:ascii="Wingdings 2" w:hAnsi="Wingdings 2" w:hint="default"/>
      </w:rPr>
    </w:lvl>
    <w:lvl w:ilvl="4" w:tplc="8EB2B714" w:tentative="1">
      <w:start w:val="1"/>
      <w:numFmt w:val="bullet"/>
      <w:lvlText w:val=""/>
      <w:lvlJc w:val="left"/>
      <w:pPr>
        <w:tabs>
          <w:tab w:val="num" w:pos="3600"/>
        </w:tabs>
        <w:ind w:left="3600" w:hanging="360"/>
      </w:pPr>
      <w:rPr>
        <w:rFonts w:ascii="Wingdings 2" w:hAnsi="Wingdings 2" w:hint="default"/>
      </w:rPr>
    </w:lvl>
    <w:lvl w:ilvl="5" w:tplc="005C3AF4" w:tentative="1">
      <w:start w:val="1"/>
      <w:numFmt w:val="bullet"/>
      <w:lvlText w:val=""/>
      <w:lvlJc w:val="left"/>
      <w:pPr>
        <w:tabs>
          <w:tab w:val="num" w:pos="4320"/>
        </w:tabs>
        <w:ind w:left="4320" w:hanging="360"/>
      </w:pPr>
      <w:rPr>
        <w:rFonts w:ascii="Wingdings 2" w:hAnsi="Wingdings 2" w:hint="default"/>
      </w:rPr>
    </w:lvl>
    <w:lvl w:ilvl="6" w:tplc="2076B33C" w:tentative="1">
      <w:start w:val="1"/>
      <w:numFmt w:val="bullet"/>
      <w:lvlText w:val=""/>
      <w:lvlJc w:val="left"/>
      <w:pPr>
        <w:tabs>
          <w:tab w:val="num" w:pos="5040"/>
        </w:tabs>
        <w:ind w:left="5040" w:hanging="360"/>
      </w:pPr>
      <w:rPr>
        <w:rFonts w:ascii="Wingdings 2" w:hAnsi="Wingdings 2" w:hint="default"/>
      </w:rPr>
    </w:lvl>
    <w:lvl w:ilvl="7" w:tplc="7D5A5726" w:tentative="1">
      <w:start w:val="1"/>
      <w:numFmt w:val="bullet"/>
      <w:lvlText w:val=""/>
      <w:lvlJc w:val="left"/>
      <w:pPr>
        <w:tabs>
          <w:tab w:val="num" w:pos="5760"/>
        </w:tabs>
        <w:ind w:left="5760" w:hanging="360"/>
      </w:pPr>
      <w:rPr>
        <w:rFonts w:ascii="Wingdings 2" w:hAnsi="Wingdings 2" w:hint="default"/>
      </w:rPr>
    </w:lvl>
    <w:lvl w:ilvl="8" w:tplc="AFE68AA0" w:tentative="1">
      <w:start w:val="1"/>
      <w:numFmt w:val="bullet"/>
      <w:lvlText w:val=""/>
      <w:lvlJc w:val="left"/>
      <w:pPr>
        <w:tabs>
          <w:tab w:val="num" w:pos="6480"/>
        </w:tabs>
        <w:ind w:left="6480" w:hanging="360"/>
      </w:pPr>
      <w:rPr>
        <w:rFonts w:ascii="Wingdings 2" w:hAnsi="Wingdings 2" w:hint="default"/>
      </w:rPr>
    </w:lvl>
  </w:abstractNum>
  <w:abstractNum w:abstractNumId="1">
    <w:nsid w:val="204D5085"/>
    <w:multiLevelType w:val="hybridMultilevel"/>
    <w:tmpl w:val="78BEA1EE"/>
    <w:lvl w:ilvl="0" w:tplc="C15EE5D6">
      <w:start w:val="1"/>
      <w:numFmt w:val="bullet"/>
      <w:lvlText w:val="-"/>
      <w:lvlJc w:val="left"/>
      <w:pPr>
        <w:tabs>
          <w:tab w:val="num" w:pos="720"/>
        </w:tabs>
        <w:ind w:left="720" w:hanging="360"/>
      </w:pPr>
      <w:rPr>
        <w:rFonts w:ascii="Times" w:hAnsi="Times" w:hint="default"/>
      </w:rPr>
    </w:lvl>
    <w:lvl w:ilvl="1" w:tplc="E006D03C" w:tentative="1">
      <w:start w:val="1"/>
      <w:numFmt w:val="bullet"/>
      <w:lvlText w:val="-"/>
      <w:lvlJc w:val="left"/>
      <w:pPr>
        <w:tabs>
          <w:tab w:val="num" w:pos="1440"/>
        </w:tabs>
        <w:ind w:left="1440" w:hanging="360"/>
      </w:pPr>
      <w:rPr>
        <w:rFonts w:ascii="Times" w:hAnsi="Times" w:hint="default"/>
      </w:rPr>
    </w:lvl>
    <w:lvl w:ilvl="2" w:tplc="2DB27082" w:tentative="1">
      <w:start w:val="1"/>
      <w:numFmt w:val="bullet"/>
      <w:lvlText w:val="-"/>
      <w:lvlJc w:val="left"/>
      <w:pPr>
        <w:tabs>
          <w:tab w:val="num" w:pos="2160"/>
        </w:tabs>
        <w:ind w:left="2160" w:hanging="360"/>
      </w:pPr>
      <w:rPr>
        <w:rFonts w:ascii="Times" w:hAnsi="Times" w:hint="default"/>
      </w:rPr>
    </w:lvl>
    <w:lvl w:ilvl="3" w:tplc="87843D8E" w:tentative="1">
      <w:start w:val="1"/>
      <w:numFmt w:val="bullet"/>
      <w:lvlText w:val="-"/>
      <w:lvlJc w:val="left"/>
      <w:pPr>
        <w:tabs>
          <w:tab w:val="num" w:pos="2880"/>
        </w:tabs>
        <w:ind w:left="2880" w:hanging="360"/>
      </w:pPr>
      <w:rPr>
        <w:rFonts w:ascii="Times" w:hAnsi="Times" w:hint="default"/>
      </w:rPr>
    </w:lvl>
    <w:lvl w:ilvl="4" w:tplc="F4AE3D76" w:tentative="1">
      <w:start w:val="1"/>
      <w:numFmt w:val="bullet"/>
      <w:lvlText w:val="-"/>
      <w:lvlJc w:val="left"/>
      <w:pPr>
        <w:tabs>
          <w:tab w:val="num" w:pos="3600"/>
        </w:tabs>
        <w:ind w:left="3600" w:hanging="360"/>
      </w:pPr>
      <w:rPr>
        <w:rFonts w:ascii="Times" w:hAnsi="Times" w:hint="default"/>
      </w:rPr>
    </w:lvl>
    <w:lvl w:ilvl="5" w:tplc="69EAC6F2" w:tentative="1">
      <w:start w:val="1"/>
      <w:numFmt w:val="bullet"/>
      <w:lvlText w:val="-"/>
      <w:lvlJc w:val="left"/>
      <w:pPr>
        <w:tabs>
          <w:tab w:val="num" w:pos="4320"/>
        </w:tabs>
        <w:ind w:left="4320" w:hanging="360"/>
      </w:pPr>
      <w:rPr>
        <w:rFonts w:ascii="Times" w:hAnsi="Times" w:hint="default"/>
      </w:rPr>
    </w:lvl>
    <w:lvl w:ilvl="6" w:tplc="A7BA1970" w:tentative="1">
      <w:start w:val="1"/>
      <w:numFmt w:val="bullet"/>
      <w:lvlText w:val="-"/>
      <w:lvlJc w:val="left"/>
      <w:pPr>
        <w:tabs>
          <w:tab w:val="num" w:pos="5040"/>
        </w:tabs>
        <w:ind w:left="5040" w:hanging="360"/>
      </w:pPr>
      <w:rPr>
        <w:rFonts w:ascii="Times" w:hAnsi="Times" w:hint="default"/>
      </w:rPr>
    </w:lvl>
    <w:lvl w:ilvl="7" w:tplc="307EDAFA" w:tentative="1">
      <w:start w:val="1"/>
      <w:numFmt w:val="bullet"/>
      <w:lvlText w:val="-"/>
      <w:lvlJc w:val="left"/>
      <w:pPr>
        <w:tabs>
          <w:tab w:val="num" w:pos="5760"/>
        </w:tabs>
        <w:ind w:left="5760" w:hanging="360"/>
      </w:pPr>
      <w:rPr>
        <w:rFonts w:ascii="Times" w:hAnsi="Times" w:hint="default"/>
      </w:rPr>
    </w:lvl>
    <w:lvl w:ilvl="8" w:tplc="4D226206" w:tentative="1">
      <w:start w:val="1"/>
      <w:numFmt w:val="bullet"/>
      <w:lvlText w:val="-"/>
      <w:lvlJc w:val="left"/>
      <w:pPr>
        <w:tabs>
          <w:tab w:val="num" w:pos="6480"/>
        </w:tabs>
        <w:ind w:left="6480" w:hanging="360"/>
      </w:pPr>
      <w:rPr>
        <w:rFonts w:ascii="Times" w:hAnsi="Times" w:hint="default"/>
      </w:rPr>
    </w:lvl>
  </w:abstractNum>
  <w:abstractNum w:abstractNumId="2">
    <w:nsid w:val="20B73A97"/>
    <w:multiLevelType w:val="hybridMultilevel"/>
    <w:tmpl w:val="35D0E8CE"/>
    <w:lvl w:ilvl="0" w:tplc="6A4427CC">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34F4C"/>
    <w:multiLevelType w:val="hybridMultilevel"/>
    <w:tmpl w:val="A35A39B2"/>
    <w:lvl w:ilvl="0" w:tplc="E8EAE7F6">
      <w:start w:val="1"/>
      <w:numFmt w:val="bullet"/>
      <w:lvlText w:val=""/>
      <w:lvlJc w:val="left"/>
      <w:pPr>
        <w:tabs>
          <w:tab w:val="num" w:pos="720"/>
        </w:tabs>
        <w:ind w:left="720" w:hanging="360"/>
      </w:pPr>
      <w:rPr>
        <w:rFonts w:ascii="Wingdings 2" w:hAnsi="Wingdings 2" w:hint="default"/>
      </w:rPr>
    </w:lvl>
    <w:lvl w:ilvl="1" w:tplc="47669EBA" w:tentative="1">
      <w:start w:val="1"/>
      <w:numFmt w:val="bullet"/>
      <w:lvlText w:val=""/>
      <w:lvlJc w:val="left"/>
      <w:pPr>
        <w:tabs>
          <w:tab w:val="num" w:pos="1440"/>
        </w:tabs>
        <w:ind w:left="1440" w:hanging="360"/>
      </w:pPr>
      <w:rPr>
        <w:rFonts w:ascii="Wingdings 2" w:hAnsi="Wingdings 2" w:hint="default"/>
      </w:rPr>
    </w:lvl>
    <w:lvl w:ilvl="2" w:tplc="F224FBF8" w:tentative="1">
      <w:start w:val="1"/>
      <w:numFmt w:val="bullet"/>
      <w:lvlText w:val=""/>
      <w:lvlJc w:val="left"/>
      <w:pPr>
        <w:tabs>
          <w:tab w:val="num" w:pos="2160"/>
        </w:tabs>
        <w:ind w:left="2160" w:hanging="360"/>
      </w:pPr>
      <w:rPr>
        <w:rFonts w:ascii="Wingdings 2" w:hAnsi="Wingdings 2" w:hint="default"/>
      </w:rPr>
    </w:lvl>
    <w:lvl w:ilvl="3" w:tplc="E17A9B92" w:tentative="1">
      <w:start w:val="1"/>
      <w:numFmt w:val="bullet"/>
      <w:lvlText w:val=""/>
      <w:lvlJc w:val="left"/>
      <w:pPr>
        <w:tabs>
          <w:tab w:val="num" w:pos="2880"/>
        </w:tabs>
        <w:ind w:left="2880" w:hanging="360"/>
      </w:pPr>
      <w:rPr>
        <w:rFonts w:ascii="Wingdings 2" w:hAnsi="Wingdings 2" w:hint="default"/>
      </w:rPr>
    </w:lvl>
    <w:lvl w:ilvl="4" w:tplc="B4327AAE" w:tentative="1">
      <w:start w:val="1"/>
      <w:numFmt w:val="bullet"/>
      <w:lvlText w:val=""/>
      <w:lvlJc w:val="left"/>
      <w:pPr>
        <w:tabs>
          <w:tab w:val="num" w:pos="3600"/>
        </w:tabs>
        <w:ind w:left="3600" w:hanging="360"/>
      </w:pPr>
      <w:rPr>
        <w:rFonts w:ascii="Wingdings 2" w:hAnsi="Wingdings 2" w:hint="default"/>
      </w:rPr>
    </w:lvl>
    <w:lvl w:ilvl="5" w:tplc="D34A5CBE" w:tentative="1">
      <w:start w:val="1"/>
      <w:numFmt w:val="bullet"/>
      <w:lvlText w:val=""/>
      <w:lvlJc w:val="left"/>
      <w:pPr>
        <w:tabs>
          <w:tab w:val="num" w:pos="4320"/>
        </w:tabs>
        <w:ind w:left="4320" w:hanging="360"/>
      </w:pPr>
      <w:rPr>
        <w:rFonts w:ascii="Wingdings 2" w:hAnsi="Wingdings 2" w:hint="default"/>
      </w:rPr>
    </w:lvl>
    <w:lvl w:ilvl="6" w:tplc="67D270F2" w:tentative="1">
      <w:start w:val="1"/>
      <w:numFmt w:val="bullet"/>
      <w:lvlText w:val=""/>
      <w:lvlJc w:val="left"/>
      <w:pPr>
        <w:tabs>
          <w:tab w:val="num" w:pos="5040"/>
        </w:tabs>
        <w:ind w:left="5040" w:hanging="360"/>
      </w:pPr>
      <w:rPr>
        <w:rFonts w:ascii="Wingdings 2" w:hAnsi="Wingdings 2" w:hint="default"/>
      </w:rPr>
    </w:lvl>
    <w:lvl w:ilvl="7" w:tplc="672C7CCA" w:tentative="1">
      <w:start w:val="1"/>
      <w:numFmt w:val="bullet"/>
      <w:lvlText w:val=""/>
      <w:lvlJc w:val="left"/>
      <w:pPr>
        <w:tabs>
          <w:tab w:val="num" w:pos="5760"/>
        </w:tabs>
        <w:ind w:left="5760" w:hanging="360"/>
      </w:pPr>
      <w:rPr>
        <w:rFonts w:ascii="Wingdings 2" w:hAnsi="Wingdings 2" w:hint="default"/>
      </w:rPr>
    </w:lvl>
    <w:lvl w:ilvl="8" w:tplc="D414891A" w:tentative="1">
      <w:start w:val="1"/>
      <w:numFmt w:val="bullet"/>
      <w:lvlText w:val=""/>
      <w:lvlJc w:val="left"/>
      <w:pPr>
        <w:tabs>
          <w:tab w:val="num" w:pos="6480"/>
        </w:tabs>
        <w:ind w:left="6480" w:hanging="360"/>
      </w:pPr>
      <w:rPr>
        <w:rFonts w:ascii="Wingdings 2" w:hAnsi="Wingdings 2" w:hint="default"/>
      </w:rPr>
    </w:lvl>
  </w:abstractNum>
  <w:abstractNum w:abstractNumId="4">
    <w:nsid w:val="25392ACE"/>
    <w:multiLevelType w:val="hybridMultilevel"/>
    <w:tmpl w:val="99666496"/>
    <w:lvl w:ilvl="0" w:tplc="3DB83B48">
      <w:start w:val="1"/>
      <w:numFmt w:val="bullet"/>
      <w:lvlText w:val=""/>
      <w:lvlJc w:val="left"/>
      <w:pPr>
        <w:tabs>
          <w:tab w:val="num" w:pos="720"/>
        </w:tabs>
        <w:ind w:left="720" w:hanging="360"/>
      </w:pPr>
      <w:rPr>
        <w:rFonts w:ascii="Wingdings 2" w:hAnsi="Wingdings 2" w:hint="default"/>
      </w:rPr>
    </w:lvl>
    <w:lvl w:ilvl="1" w:tplc="B1429D8C" w:tentative="1">
      <w:start w:val="1"/>
      <w:numFmt w:val="bullet"/>
      <w:lvlText w:val=""/>
      <w:lvlJc w:val="left"/>
      <w:pPr>
        <w:tabs>
          <w:tab w:val="num" w:pos="1440"/>
        </w:tabs>
        <w:ind w:left="1440" w:hanging="360"/>
      </w:pPr>
      <w:rPr>
        <w:rFonts w:ascii="Wingdings 2" w:hAnsi="Wingdings 2" w:hint="default"/>
      </w:rPr>
    </w:lvl>
    <w:lvl w:ilvl="2" w:tplc="9E00E6BE" w:tentative="1">
      <w:start w:val="1"/>
      <w:numFmt w:val="bullet"/>
      <w:lvlText w:val=""/>
      <w:lvlJc w:val="left"/>
      <w:pPr>
        <w:tabs>
          <w:tab w:val="num" w:pos="2160"/>
        </w:tabs>
        <w:ind w:left="2160" w:hanging="360"/>
      </w:pPr>
      <w:rPr>
        <w:rFonts w:ascii="Wingdings 2" w:hAnsi="Wingdings 2" w:hint="default"/>
      </w:rPr>
    </w:lvl>
    <w:lvl w:ilvl="3" w:tplc="AB7E8158" w:tentative="1">
      <w:start w:val="1"/>
      <w:numFmt w:val="bullet"/>
      <w:lvlText w:val=""/>
      <w:lvlJc w:val="left"/>
      <w:pPr>
        <w:tabs>
          <w:tab w:val="num" w:pos="2880"/>
        </w:tabs>
        <w:ind w:left="2880" w:hanging="360"/>
      </w:pPr>
      <w:rPr>
        <w:rFonts w:ascii="Wingdings 2" w:hAnsi="Wingdings 2" w:hint="default"/>
      </w:rPr>
    </w:lvl>
    <w:lvl w:ilvl="4" w:tplc="B0902A9A" w:tentative="1">
      <w:start w:val="1"/>
      <w:numFmt w:val="bullet"/>
      <w:lvlText w:val=""/>
      <w:lvlJc w:val="left"/>
      <w:pPr>
        <w:tabs>
          <w:tab w:val="num" w:pos="3600"/>
        </w:tabs>
        <w:ind w:left="3600" w:hanging="360"/>
      </w:pPr>
      <w:rPr>
        <w:rFonts w:ascii="Wingdings 2" w:hAnsi="Wingdings 2" w:hint="default"/>
      </w:rPr>
    </w:lvl>
    <w:lvl w:ilvl="5" w:tplc="A9F223DE" w:tentative="1">
      <w:start w:val="1"/>
      <w:numFmt w:val="bullet"/>
      <w:lvlText w:val=""/>
      <w:lvlJc w:val="left"/>
      <w:pPr>
        <w:tabs>
          <w:tab w:val="num" w:pos="4320"/>
        </w:tabs>
        <w:ind w:left="4320" w:hanging="360"/>
      </w:pPr>
      <w:rPr>
        <w:rFonts w:ascii="Wingdings 2" w:hAnsi="Wingdings 2" w:hint="default"/>
      </w:rPr>
    </w:lvl>
    <w:lvl w:ilvl="6" w:tplc="5C520F10" w:tentative="1">
      <w:start w:val="1"/>
      <w:numFmt w:val="bullet"/>
      <w:lvlText w:val=""/>
      <w:lvlJc w:val="left"/>
      <w:pPr>
        <w:tabs>
          <w:tab w:val="num" w:pos="5040"/>
        </w:tabs>
        <w:ind w:left="5040" w:hanging="360"/>
      </w:pPr>
      <w:rPr>
        <w:rFonts w:ascii="Wingdings 2" w:hAnsi="Wingdings 2" w:hint="default"/>
      </w:rPr>
    </w:lvl>
    <w:lvl w:ilvl="7" w:tplc="352094FC" w:tentative="1">
      <w:start w:val="1"/>
      <w:numFmt w:val="bullet"/>
      <w:lvlText w:val=""/>
      <w:lvlJc w:val="left"/>
      <w:pPr>
        <w:tabs>
          <w:tab w:val="num" w:pos="5760"/>
        </w:tabs>
        <w:ind w:left="5760" w:hanging="360"/>
      </w:pPr>
      <w:rPr>
        <w:rFonts w:ascii="Wingdings 2" w:hAnsi="Wingdings 2" w:hint="default"/>
      </w:rPr>
    </w:lvl>
    <w:lvl w:ilvl="8" w:tplc="20F01062" w:tentative="1">
      <w:start w:val="1"/>
      <w:numFmt w:val="bullet"/>
      <w:lvlText w:val=""/>
      <w:lvlJc w:val="left"/>
      <w:pPr>
        <w:tabs>
          <w:tab w:val="num" w:pos="6480"/>
        </w:tabs>
        <w:ind w:left="6480" w:hanging="360"/>
      </w:pPr>
      <w:rPr>
        <w:rFonts w:ascii="Wingdings 2" w:hAnsi="Wingdings 2" w:hint="default"/>
      </w:rPr>
    </w:lvl>
  </w:abstractNum>
  <w:abstractNum w:abstractNumId="5">
    <w:nsid w:val="326165C1"/>
    <w:multiLevelType w:val="hybridMultilevel"/>
    <w:tmpl w:val="B5005814"/>
    <w:lvl w:ilvl="0" w:tplc="6B5033E0">
      <w:start w:val="1"/>
      <w:numFmt w:val="bullet"/>
      <w:lvlText w:val=""/>
      <w:lvlJc w:val="left"/>
      <w:pPr>
        <w:tabs>
          <w:tab w:val="num" w:pos="720"/>
        </w:tabs>
        <w:ind w:left="720" w:hanging="360"/>
      </w:pPr>
      <w:rPr>
        <w:rFonts w:ascii="Wingdings 2" w:hAnsi="Wingdings 2" w:hint="default"/>
      </w:rPr>
    </w:lvl>
    <w:lvl w:ilvl="1" w:tplc="9FFE4B4C" w:tentative="1">
      <w:start w:val="1"/>
      <w:numFmt w:val="bullet"/>
      <w:lvlText w:val=""/>
      <w:lvlJc w:val="left"/>
      <w:pPr>
        <w:tabs>
          <w:tab w:val="num" w:pos="1440"/>
        </w:tabs>
        <w:ind w:left="1440" w:hanging="360"/>
      </w:pPr>
      <w:rPr>
        <w:rFonts w:ascii="Wingdings 2" w:hAnsi="Wingdings 2" w:hint="default"/>
      </w:rPr>
    </w:lvl>
    <w:lvl w:ilvl="2" w:tplc="FCBEA2FA" w:tentative="1">
      <w:start w:val="1"/>
      <w:numFmt w:val="bullet"/>
      <w:lvlText w:val=""/>
      <w:lvlJc w:val="left"/>
      <w:pPr>
        <w:tabs>
          <w:tab w:val="num" w:pos="2160"/>
        </w:tabs>
        <w:ind w:left="2160" w:hanging="360"/>
      </w:pPr>
      <w:rPr>
        <w:rFonts w:ascii="Wingdings 2" w:hAnsi="Wingdings 2" w:hint="default"/>
      </w:rPr>
    </w:lvl>
    <w:lvl w:ilvl="3" w:tplc="DC2AD04C" w:tentative="1">
      <w:start w:val="1"/>
      <w:numFmt w:val="bullet"/>
      <w:lvlText w:val=""/>
      <w:lvlJc w:val="left"/>
      <w:pPr>
        <w:tabs>
          <w:tab w:val="num" w:pos="2880"/>
        </w:tabs>
        <w:ind w:left="2880" w:hanging="360"/>
      </w:pPr>
      <w:rPr>
        <w:rFonts w:ascii="Wingdings 2" w:hAnsi="Wingdings 2" w:hint="default"/>
      </w:rPr>
    </w:lvl>
    <w:lvl w:ilvl="4" w:tplc="B3F8AA2A" w:tentative="1">
      <w:start w:val="1"/>
      <w:numFmt w:val="bullet"/>
      <w:lvlText w:val=""/>
      <w:lvlJc w:val="left"/>
      <w:pPr>
        <w:tabs>
          <w:tab w:val="num" w:pos="3600"/>
        </w:tabs>
        <w:ind w:left="3600" w:hanging="360"/>
      </w:pPr>
      <w:rPr>
        <w:rFonts w:ascii="Wingdings 2" w:hAnsi="Wingdings 2" w:hint="default"/>
      </w:rPr>
    </w:lvl>
    <w:lvl w:ilvl="5" w:tplc="768A2A28" w:tentative="1">
      <w:start w:val="1"/>
      <w:numFmt w:val="bullet"/>
      <w:lvlText w:val=""/>
      <w:lvlJc w:val="left"/>
      <w:pPr>
        <w:tabs>
          <w:tab w:val="num" w:pos="4320"/>
        </w:tabs>
        <w:ind w:left="4320" w:hanging="360"/>
      </w:pPr>
      <w:rPr>
        <w:rFonts w:ascii="Wingdings 2" w:hAnsi="Wingdings 2" w:hint="default"/>
      </w:rPr>
    </w:lvl>
    <w:lvl w:ilvl="6" w:tplc="9F4493FA" w:tentative="1">
      <w:start w:val="1"/>
      <w:numFmt w:val="bullet"/>
      <w:lvlText w:val=""/>
      <w:lvlJc w:val="left"/>
      <w:pPr>
        <w:tabs>
          <w:tab w:val="num" w:pos="5040"/>
        </w:tabs>
        <w:ind w:left="5040" w:hanging="360"/>
      </w:pPr>
      <w:rPr>
        <w:rFonts w:ascii="Wingdings 2" w:hAnsi="Wingdings 2" w:hint="default"/>
      </w:rPr>
    </w:lvl>
    <w:lvl w:ilvl="7" w:tplc="7966A838" w:tentative="1">
      <w:start w:val="1"/>
      <w:numFmt w:val="bullet"/>
      <w:lvlText w:val=""/>
      <w:lvlJc w:val="left"/>
      <w:pPr>
        <w:tabs>
          <w:tab w:val="num" w:pos="5760"/>
        </w:tabs>
        <w:ind w:left="5760" w:hanging="360"/>
      </w:pPr>
      <w:rPr>
        <w:rFonts w:ascii="Wingdings 2" w:hAnsi="Wingdings 2" w:hint="default"/>
      </w:rPr>
    </w:lvl>
    <w:lvl w:ilvl="8" w:tplc="017433FA" w:tentative="1">
      <w:start w:val="1"/>
      <w:numFmt w:val="bullet"/>
      <w:lvlText w:val=""/>
      <w:lvlJc w:val="left"/>
      <w:pPr>
        <w:tabs>
          <w:tab w:val="num" w:pos="6480"/>
        </w:tabs>
        <w:ind w:left="6480" w:hanging="360"/>
      </w:pPr>
      <w:rPr>
        <w:rFonts w:ascii="Wingdings 2" w:hAnsi="Wingdings 2" w:hint="default"/>
      </w:rPr>
    </w:lvl>
  </w:abstractNum>
  <w:abstractNum w:abstractNumId="6">
    <w:nsid w:val="43E02F24"/>
    <w:multiLevelType w:val="hybridMultilevel"/>
    <w:tmpl w:val="74123C7E"/>
    <w:lvl w:ilvl="0" w:tplc="3A068104">
      <w:start w:val="1"/>
      <w:numFmt w:val="bullet"/>
      <w:lvlText w:val=""/>
      <w:lvlJc w:val="left"/>
      <w:pPr>
        <w:tabs>
          <w:tab w:val="num" w:pos="720"/>
        </w:tabs>
        <w:ind w:left="720" w:hanging="360"/>
      </w:pPr>
      <w:rPr>
        <w:rFonts w:ascii="Wingdings 2" w:hAnsi="Wingdings 2" w:hint="default"/>
      </w:rPr>
    </w:lvl>
    <w:lvl w:ilvl="1" w:tplc="1BE46514" w:tentative="1">
      <w:start w:val="1"/>
      <w:numFmt w:val="bullet"/>
      <w:lvlText w:val=""/>
      <w:lvlJc w:val="left"/>
      <w:pPr>
        <w:tabs>
          <w:tab w:val="num" w:pos="1440"/>
        </w:tabs>
        <w:ind w:left="1440" w:hanging="360"/>
      </w:pPr>
      <w:rPr>
        <w:rFonts w:ascii="Wingdings 2" w:hAnsi="Wingdings 2" w:hint="default"/>
      </w:rPr>
    </w:lvl>
    <w:lvl w:ilvl="2" w:tplc="46DE3EBC" w:tentative="1">
      <w:start w:val="1"/>
      <w:numFmt w:val="bullet"/>
      <w:lvlText w:val=""/>
      <w:lvlJc w:val="left"/>
      <w:pPr>
        <w:tabs>
          <w:tab w:val="num" w:pos="2160"/>
        </w:tabs>
        <w:ind w:left="2160" w:hanging="360"/>
      </w:pPr>
      <w:rPr>
        <w:rFonts w:ascii="Wingdings 2" w:hAnsi="Wingdings 2" w:hint="default"/>
      </w:rPr>
    </w:lvl>
    <w:lvl w:ilvl="3" w:tplc="3014F784" w:tentative="1">
      <w:start w:val="1"/>
      <w:numFmt w:val="bullet"/>
      <w:lvlText w:val=""/>
      <w:lvlJc w:val="left"/>
      <w:pPr>
        <w:tabs>
          <w:tab w:val="num" w:pos="2880"/>
        </w:tabs>
        <w:ind w:left="2880" w:hanging="360"/>
      </w:pPr>
      <w:rPr>
        <w:rFonts w:ascii="Wingdings 2" w:hAnsi="Wingdings 2" w:hint="default"/>
      </w:rPr>
    </w:lvl>
    <w:lvl w:ilvl="4" w:tplc="198C7DB0" w:tentative="1">
      <w:start w:val="1"/>
      <w:numFmt w:val="bullet"/>
      <w:lvlText w:val=""/>
      <w:lvlJc w:val="left"/>
      <w:pPr>
        <w:tabs>
          <w:tab w:val="num" w:pos="3600"/>
        </w:tabs>
        <w:ind w:left="3600" w:hanging="360"/>
      </w:pPr>
      <w:rPr>
        <w:rFonts w:ascii="Wingdings 2" w:hAnsi="Wingdings 2" w:hint="default"/>
      </w:rPr>
    </w:lvl>
    <w:lvl w:ilvl="5" w:tplc="3F96B138" w:tentative="1">
      <w:start w:val="1"/>
      <w:numFmt w:val="bullet"/>
      <w:lvlText w:val=""/>
      <w:lvlJc w:val="left"/>
      <w:pPr>
        <w:tabs>
          <w:tab w:val="num" w:pos="4320"/>
        </w:tabs>
        <w:ind w:left="4320" w:hanging="360"/>
      </w:pPr>
      <w:rPr>
        <w:rFonts w:ascii="Wingdings 2" w:hAnsi="Wingdings 2" w:hint="default"/>
      </w:rPr>
    </w:lvl>
    <w:lvl w:ilvl="6" w:tplc="3F8439D8" w:tentative="1">
      <w:start w:val="1"/>
      <w:numFmt w:val="bullet"/>
      <w:lvlText w:val=""/>
      <w:lvlJc w:val="left"/>
      <w:pPr>
        <w:tabs>
          <w:tab w:val="num" w:pos="5040"/>
        </w:tabs>
        <w:ind w:left="5040" w:hanging="360"/>
      </w:pPr>
      <w:rPr>
        <w:rFonts w:ascii="Wingdings 2" w:hAnsi="Wingdings 2" w:hint="default"/>
      </w:rPr>
    </w:lvl>
    <w:lvl w:ilvl="7" w:tplc="773CB3D8" w:tentative="1">
      <w:start w:val="1"/>
      <w:numFmt w:val="bullet"/>
      <w:lvlText w:val=""/>
      <w:lvlJc w:val="left"/>
      <w:pPr>
        <w:tabs>
          <w:tab w:val="num" w:pos="5760"/>
        </w:tabs>
        <w:ind w:left="5760" w:hanging="360"/>
      </w:pPr>
      <w:rPr>
        <w:rFonts w:ascii="Wingdings 2" w:hAnsi="Wingdings 2" w:hint="default"/>
      </w:rPr>
    </w:lvl>
    <w:lvl w:ilvl="8" w:tplc="0E34209E"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89"/>
    <w:rsid w:val="0022672B"/>
    <w:rsid w:val="00357576"/>
    <w:rsid w:val="004F3B22"/>
    <w:rsid w:val="005705CD"/>
    <w:rsid w:val="00697F2E"/>
    <w:rsid w:val="008F300F"/>
    <w:rsid w:val="00933289"/>
    <w:rsid w:val="00A30708"/>
    <w:rsid w:val="00A916FA"/>
    <w:rsid w:val="00AA05EB"/>
    <w:rsid w:val="00D9189F"/>
    <w:rsid w:val="00D97E0C"/>
    <w:rsid w:val="00FE355C"/>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A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16FA"/>
    <w:rPr>
      <w:color w:val="0000FF" w:themeColor="hyperlink"/>
      <w:u w:val="single"/>
    </w:rPr>
  </w:style>
  <w:style w:type="paragraph" w:styleId="Prrafodelista">
    <w:name w:val="List Paragraph"/>
    <w:basedOn w:val="Normal"/>
    <w:uiPriority w:val="34"/>
    <w:qFormat/>
    <w:rsid w:val="005705CD"/>
    <w:pPr>
      <w:ind w:left="720"/>
      <w:contextualSpacing/>
    </w:pPr>
  </w:style>
  <w:style w:type="paragraph" w:styleId="Textonotapie">
    <w:name w:val="footnote text"/>
    <w:basedOn w:val="Normal"/>
    <w:link w:val="TextonotapieCar"/>
    <w:uiPriority w:val="99"/>
    <w:unhideWhenUsed/>
    <w:rsid w:val="00D97E0C"/>
    <w:pPr>
      <w:spacing w:after="0"/>
    </w:pPr>
  </w:style>
  <w:style w:type="character" w:customStyle="1" w:styleId="TextonotapieCar">
    <w:name w:val="Texto nota pie Car"/>
    <w:basedOn w:val="Fuentedeprrafopredeter"/>
    <w:link w:val="Textonotapie"/>
    <w:uiPriority w:val="99"/>
    <w:rsid w:val="00D97E0C"/>
  </w:style>
  <w:style w:type="character" w:styleId="Refdenotaalpie">
    <w:name w:val="footnote reference"/>
    <w:basedOn w:val="Fuentedeprrafopredeter"/>
    <w:uiPriority w:val="99"/>
    <w:unhideWhenUsed/>
    <w:rsid w:val="00D97E0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16FA"/>
    <w:rPr>
      <w:color w:val="0000FF" w:themeColor="hyperlink"/>
      <w:u w:val="single"/>
    </w:rPr>
  </w:style>
  <w:style w:type="paragraph" w:styleId="Prrafodelista">
    <w:name w:val="List Paragraph"/>
    <w:basedOn w:val="Normal"/>
    <w:uiPriority w:val="34"/>
    <w:qFormat/>
    <w:rsid w:val="005705CD"/>
    <w:pPr>
      <w:ind w:left="720"/>
      <w:contextualSpacing/>
    </w:pPr>
  </w:style>
  <w:style w:type="paragraph" w:styleId="Textonotapie">
    <w:name w:val="footnote text"/>
    <w:basedOn w:val="Normal"/>
    <w:link w:val="TextonotapieCar"/>
    <w:uiPriority w:val="99"/>
    <w:unhideWhenUsed/>
    <w:rsid w:val="00D97E0C"/>
    <w:pPr>
      <w:spacing w:after="0"/>
    </w:pPr>
  </w:style>
  <w:style w:type="character" w:customStyle="1" w:styleId="TextonotapieCar">
    <w:name w:val="Texto nota pie Car"/>
    <w:basedOn w:val="Fuentedeprrafopredeter"/>
    <w:link w:val="Textonotapie"/>
    <w:uiPriority w:val="99"/>
    <w:rsid w:val="00D97E0C"/>
  </w:style>
  <w:style w:type="character" w:styleId="Refdenotaalpie">
    <w:name w:val="footnote reference"/>
    <w:basedOn w:val="Fuentedeprrafopredeter"/>
    <w:uiPriority w:val="99"/>
    <w:unhideWhenUsed/>
    <w:rsid w:val="00D9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1532">
      <w:bodyDiv w:val="1"/>
      <w:marLeft w:val="0"/>
      <w:marRight w:val="0"/>
      <w:marTop w:val="0"/>
      <w:marBottom w:val="0"/>
      <w:divBdr>
        <w:top w:val="none" w:sz="0" w:space="0" w:color="auto"/>
        <w:left w:val="none" w:sz="0" w:space="0" w:color="auto"/>
        <w:bottom w:val="none" w:sz="0" w:space="0" w:color="auto"/>
        <w:right w:val="none" w:sz="0" w:space="0" w:color="auto"/>
      </w:divBdr>
      <w:divsChild>
        <w:div w:id="1847089366">
          <w:marLeft w:val="446"/>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estpeoples.org/sites/fpp/files/news/2016/02/Indigenous%20Peoples'%20Submission%20to%20the%20GCF%20ESMS.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2704</Words>
  <Characters>14875</Characters>
  <Application>Microsoft Macintosh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pajarotripse</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Martone</dc:creator>
  <cp:keywords/>
  <dc:description/>
  <cp:lastModifiedBy>CAPDI</cp:lastModifiedBy>
  <cp:revision>2</cp:revision>
  <dcterms:created xsi:type="dcterms:W3CDTF">2017-03-21T10:39:00Z</dcterms:created>
  <dcterms:modified xsi:type="dcterms:W3CDTF">2017-03-21T10:39:00Z</dcterms:modified>
</cp:coreProperties>
</file>